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FD" w:rsidRDefault="009E24FD" w:rsidP="0080119F">
      <w:pPr>
        <w:pStyle w:val="Nagwek1"/>
      </w:pPr>
      <w:r>
        <w:t>Nadzór nad środkami zastępczymi</w:t>
      </w:r>
    </w:p>
    <w:p w:rsidR="0080119F" w:rsidRPr="0080119F" w:rsidRDefault="0080119F" w:rsidP="0080119F">
      <w:pPr>
        <w:pStyle w:val="Tekstpodstawowy"/>
      </w:pPr>
    </w:p>
    <w:p w:rsidR="009E24FD" w:rsidRDefault="009E24FD" w:rsidP="009E24FD">
      <w:pPr>
        <w:spacing w:before="120" w:after="120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AF39A2">
        <w:rPr>
          <w:rFonts w:ascii="Tahoma" w:hAnsi="Tahoma" w:cs="Tahoma"/>
          <w:bCs/>
          <w:iCs/>
          <w:sz w:val="22"/>
          <w:szCs w:val="22"/>
        </w:rPr>
        <w:t>Naczelnym zadaniem Państwowej Inspekcji Sanitarnej jest ochrona zdrowia i życia ludzkiego.</w:t>
      </w:r>
      <w:r w:rsidRPr="00AF39A2">
        <w:rPr>
          <w:rFonts w:ascii="Tahoma" w:hAnsi="Tahoma" w:cs="Tahoma"/>
          <w:bCs/>
          <w:iCs/>
          <w:sz w:val="22"/>
          <w:szCs w:val="22"/>
        </w:rPr>
        <w:br/>
        <w:t>W</w:t>
      </w:r>
      <w:r w:rsidRPr="00AF39A2">
        <w:rPr>
          <w:rFonts w:ascii="Tahoma" w:hAnsi="Tahoma" w:cs="Tahoma"/>
          <w:color w:val="000000"/>
          <w:sz w:val="22"/>
          <w:szCs w:val="22"/>
        </w:rPr>
        <w:t xml:space="preserve"> celu ograniczania zagrożeń zdrowia publicznego z zakresu przeciwdziałania narkomanii, na podstawie art. 4 ust.1 pkt 9a </w:t>
      </w:r>
      <w:r w:rsidRPr="00AF39A2">
        <w:rPr>
          <w:rFonts w:ascii="Tahoma" w:hAnsi="Tahoma" w:cs="Tahoma"/>
          <w:iCs/>
          <w:color w:val="000000"/>
          <w:sz w:val="22"/>
          <w:szCs w:val="22"/>
        </w:rPr>
        <w:t>ustawy z dnia 14 marca 1985 roku</w:t>
      </w:r>
      <w:r w:rsidRPr="00AF39A2">
        <w:rPr>
          <w:rFonts w:ascii="Tahoma" w:hAnsi="Tahoma" w:cs="Tahoma"/>
          <w:i/>
          <w:iCs/>
          <w:color w:val="000000"/>
          <w:sz w:val="22"/>
          <w:szCs w:val="22"/>
        </w:rPr>
        <w:t xml:space="preserve"> o Państwowej Inspekcji Sanitarnej </w:t>
      </w:r>
      <w:r w:rsidRPr="00AF39A2">
        <w:rPr>
          <w:rFonts w:ascii="Tahoma" w:hAnsi="Tahoma" w:cs="Tahoma"/>
          <w:color w:val="000000"/>
          <w:sz w:val="22"/>
          <w:szCs w:val="22"/>
        </w:rPr>
        <w:t xml:space="preserve">w </w:t>
      </w:r>
      <w:r w:rsidRPr="00AF39A2">
        <w:rPr>
          <w:rFonts w:ascii="Tahoma" w:hAnsi="Tahoma" w:cs="Tahoma"/>
          <w:iCs/>
          <w:color w:val="000000"/>
          <w:sz w:val="22"/>
          <w:szCs w:val="22"/>
        </w:rPr>
        <w:t xml:space="preserve">rozumieniu ustawy z dnia 29 lipca 2005 r. </w:t>
      </w:r>
      <w:r w:rsidRPr="00AF39A2">
        <w:rPr>
          <w:rFonts w:ascii="Tahoma" w:hAnsi="Tahoma" w:cs="Tahoma"/>
          <w:i/>
          <w:iCs/>
          <w:color w:val="000000"/>
          <w:sz w:val="22"/>
          <w:szCs w:val="22"/>
        </w:rPr>
        <w:t>o przeciwdziałaniu narkomanii</w:t>
      </w:r>
      <w:r w:rsidRPr="00AF39A2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404A58">
        <w:rPr>
          <w:rFonts w:ascii="Tahoma" w:hAnsi="Tahoma" w:cs="Tahoma"/>
          <w:color w:val="000000"/>
          <w:sz w:val="22"/>
          <w:szCs w:val="22"/>
        </w:rPr>
        <w:t>organa Państwowej Inspekcji S</w:t>
      </w:r>
      <w:r w:rsidR="00C863DD">
        <w:rPr>
          <w:rFonts w:ascii="Tahoma" w:hAnsi="Tahoma" w:cs="Tahoma"/>
          <w:color w:val="000000"/>
          <w:sz w:val="22"/>
          <w:szCs w:val="22"/>
        </w:rPr>
        <w:t>anitarnej egzekwują</w:t>
      </w:r>
      <w:r w:rsidRPr="00AF39A2">
        <w:rPr>
          <w:rFonts w:ascii="Tahoma" w:hAnsi="Tahoma" w:cs="Tahoma"/>
          <w:color w:val="000000"/>
          <w:sz w:val="22"/>
          <w:szCs w:val="22"/>
        </w:rPr>
        <w:t xml:space="preserve"> przestrzeganie przepisów dotyczących zakazu wytwarzania, przywozu i wprowadzania do obrotu na terytorium Rzeczypospolitej Polskiej środków zastępczych lub nowych substancji psychoaktywnych, łącząc profesjonalny system nadzoru w obszarze tzw. „dopalaczy” z działaniami edukacyjnymi, profilaktyczny</w:t>
      </w:r>
      <w:r w:rsidRPr="00AF39A2">
        <w:rPr>
          <w:rFonts w:ascii="Tahoma" w:hAnsi="Tahoma" w:cs="Tahoma"/>
          <w:color w:val="000000"/>
          <w:sz w:val="22"/>
          <w:szCs w:val="22"/>
        </w:rPr>
        <w:softHyphen/>
        <w:t>mi i szeroko rozumianą promocją zdrowia.</w:t>
      </w:r>
    </w:p>
    <w:p w:rsidR="009E24FD" w:rsidRPr="00BA6B33" w:rsidRDefault="009E24FD" w:rsidP="009E24FD">
      <w:pPr>
        <w:pStyle w:val="Nagwek2"/>
        <w:rPr>
          <w:rFonts w:eastAsia="Times New Roman"/>
        </w:rPr>
      </w:pPr>
      <w:r w:rsidRPr="00453A68">
        <w:t xml:space="preserve">W dniu 21 sierpnia 2018 r. weszła w życie ustawa z dnia 20 lipca 2018 r. </w:t>
      </w:r>
      <w:r w:rsidRPr="00453A68">
        <w:rPr>
          <w:i/>
        </w:rPr>
        <w:t>o zmianie ustawy</w:t>
      </w:r>
      <w:r w:rsidRPr="00453A68">
        <w:rPr>
          <w:i/>
        </w:rPr>
        <w:br/>
        <w:t>o przeciwdziałaniu narkomanii oraz ustawy o Państwowej Inspekcji Sanitarnej</w:t>
      </w:r>
      <w:r w:rsidRPr="00453A68">
        <w:t xml:space="preserve"> (Dz. U. poz. 1490) i równocześnie rozporządzenie Ministra Zdrowia z dnia 17 sierpnia 2018 r. </w:t>
      </w:r>
      <w:r w:rsidRPr="00453A68">
        <w:rPr>
          <w:i/>
        </w:rPr>
        <w:t>w sprawie wykazu substancji psychotropowych, środków odurzających oraz nowych substancji psychoaktywnych</w:t>
      </w:r>
      <w:r w:rsidRPr="00453A68">
        <w:t xml:space="preserve"> (Dz. U. poz. 1591), które objęło większość substancji znajdujących się </w:t>
      </w:r>
      <w:r w:rsidR="00C1247A">
        <w:br/>
      </w:r>
      <w:r w:rsidRPr="00453A68">
        <w:t xml:space="preserve">w </w:t>
      </w:r>
      <w:r w:rsidR="00C1247A">
        <w:t>dotychczasowym</w:t>
      </w:r>
      <w:r w:rsidRPr="00453A68">
        <w:t xml:space="preserve"> wykazie. </w:t>
      </w:r>
      <w:r>
        <w:t xml:space="preserve">Wprowadzenie zmian miało na </w:t>
      </w:r>
      <w:r w:rsidRPr="00453A68">
        <w:t>celu umożliwieni</w:t>
      </w:r>
      <w:r>
        <w:t xml:space="preserve">e </w:t>
      </w:r>
      <w:r w:rsidRPr="00453A68">
        <w:t>skuteczniejszej walki z problemem „dopalaczy” w Polsce.</w:t>
      </w:r>
    </w:p>
    <w:p w:rsidR="009E24FD" w:rsidRPr="006265BF" w:rsidRDefault="009E24FD" w:rsidP="006265BF">
      <w:pPr>
        <w:pStyle w:val="NormalnyWeb"/>
        <w:spacing w:before="120" w:beforeAutospacing="0" w:after="120" w:afterAutospacing="0" w:line="360" w:lineRule="auto"/>
        <w:jc w:val="both"/>
        <w:rPr>
          <w:rFonts w:ascii="Tahoma" w:hAnsi="Tahoma" w:cs="Tahoma"/>
          <w:sz w:val="22"/>
          <w:szCs w:val="22"/>
        </w:rPr>
      </w:pPr>
      <w:r w:rsidRPr="00BF196F">
        <w:rPr>
          <w:rFonts w:ascii="Tahoma" w:hAnsi="Tahoma" w:cs="Tahoma"/>
          <w:sz w:val="22"/>
          <w:szCs w:val="22"/>
        </w:rPr>
        <w:t xml:space="preserve">Zasadniczym celem zmiany ustawy było objęcie przepisami karnymi przede wszystkim czynów związanych z posiadaniem, produkcją oraz dystrybucją substancji ujętych w rozporządzeniu Ministra Zdrowia </w:t>
      </w:r>
      <w:r w:rsidRPr="00BF196F">
        <w:rPr>
          <w:rFonts w:ascii="Tahoma" w:hAnsi="Tahoma" w:cs="Tahoma"/>
          <w:i/>
          <w:sz w:val="22"/>
          <w:szCs w:val="22"/>
        </w:rPr>
        <w:t>w sprawie wykazu substancji psychotropowych, środków odurzających oraz nowych substancji psychoaktywnych</w:t>
      </w:r>
      <w:r w:rsidRPr="00BF196F">
        <w:rPr>
          <w:rFonts w:ascii="Tahoma" w:hAnsi="Tahoma" w:cs="Tahoma"/>
          <w:sz w:val="22"/>
          <w:szCs w:val="22"/>
        </w:rPr>
        <w:t xml:space="preserve"> i stworzenie instrumentów prawnych umożlwiających ich egzekwowanie. Po wejściu w życie Ustawy nowe substancje psychoaktywne (dopalacze) zostały wp</w:t>
      </w:r>
      <w:r w:rsidR="00C1247A">
        <w:rPr>
          <w:rFonts w:ascii="Tahoma" w:hAnsi="Tahoma" w:cs="Tahoma"/>
          <w:sz w:val="22"/>
          <w:szCs w:val="22"/>
        </w:rPr>
        <w:t>rowadzone do przepisów karnych U</w:t>
      </w:r>
      <w:r w:rsidRPr="00BF196F">
        <w:rPr>
          <w:rFonts w:ascii="Tahoma" w:hAnsi="Tahoma" w:cs="Tahoma"/>
          <w:sz w:val="22"/>
          <w:szCs w:val="22"/>
        </w:rPr>
        <w:t>stawy. Oznacza to, że ich posiadanie, wytwarzanie, produkcja, udzielanie, wprowadzanie do obrotu zaczęło podlegać sankcjom karnym.  Przed wejściem w życie nowych przepisów, środki zastępcze oraz nowe substancje psychoaktywne (dopalacze) były wyłączone spod procedury karnej i włączone do procedury administracyjnej.</w:t>
      </w:r>
    </w:p>
    <w:p w:rsidR="006265BF" w:rsidRDefault="009E24FD" w:rsidP="009E24FD">
      <w:pPr>
        <w:spacing w:before="120" w:after="120" w:line="360" w:lineRule="auto"/>
        <w:jc w:val="both"/>
        <w:rPr>
          <w:b/>
          <w:noProof/>
        </w:rPr>
      </w:pPr>
      <w:r>
        <w:rPr>
          <w:rFonts w:ascii="Tahoma" w:hAnsi="Tahoma" w:cs="Tahoma"/>
          <w:sz w:val="22"/>
          <w:szCs w:val="22"/>
        </w:rPr>
        <w:t xml:space="preserve">Działania inspekcji sanitarnych w ramach prowadzonego nadzoru nad </w:t>
      </w:r>
      <w:r w:rsidRPr="00AF39A2">
        <w:rPr>
          <w:rFonts w:ascii="Tahoma" w:hAnsi="Tahoma" w:cs="Tahoma"/>
          <w:color w:val="000000"/>
          <w:sz w:val="22"/>
          <w:szCs w:val="22"/>
        </w:rPr>
        <w:t>przestrzeganie</w:t>
      </w:r>
      <w:r>
        <w:rPr>
          <w:rFonts w:ascii="Tahoma" w:hAnsi="Tahoma" w:cs="Tahoma"/>
          <w:color w:val="000000"/>
          <w:sz w:val="22"/>
          <w:szCs w:val="22"/>
        </w:rPr>
        <w:t>m</w:t>
      </w:r>
      <w:r w:rsidRPr="00AF39A2">
        <w:rPr>
          <w:rFonts w:ascii="Tahoma" w:hAnsi="Tahoma" w:cs="Tahoma"/>
          <w:color w:val="000000"/>
          <w:sz w:val="22"/>
          <w:szCs w:val="22"/>
        </w:rPr>
        <w:t xml:space="preserve"> przepisów dotyczących zakazu wytwarzania, przywozu i wprowadzania do obrotu na terytorium Rzeczypospolitej Polskiej środków zastępczych lub nowych substancji psychoaktywnych</w:t>
      </w:r>
      <w:r>
        <w:rPr>
          <w:rFonts w:ascii="Tahoma" w:hAnsi="Tahoma" w:cs="Tahoma"/>
          <w:color w:val="000000"/>
          <w:sz w:val="22"/>
          <w:szCs w:val="22"/>
        </w:rPr>
        <w:t xml:space="preserve"> doprowadziły do zamknięcia wszystkich sklepów na te</w:t>
      </w:r>
      <w:r w:rsidR="00FB3653">
        <w:rPr>
          <w:rFonts w:ascii="Tahoma" w:hAnsi="Tahoma" w:cs="Tahoma"/>
          <w:color w:val="000000"/>
          <w:sz w:val="22"/>
          <w:szCs w:val="22"/>
        </w:rPr>
        <w:t xml:space="preserve">renie województwa małopolskiego, </w:t>
      </w:r>
      <w:r>
        <w:rPr>
          <w:rFonts w:ascii="Tahoma" w:hAnsi="Tahoma" w:cs="Tahoma"/>
          <w:color w:val="000000"/>
          <w:sz w:val="22"/>
          <w:szCs w:val="22"/>
        </w:rPr>
        <w:t xml:space="preserve">w których </w:t>
      </w:r>
      <w:r>
        <w:rPr>
          <w:rFonts w:ascii="Tahoma" w:hAnsi="Tahoma" w:cs="Tahoma"/>
          <w:sz w:val="22"/>
          <w:szCs w:val="22"/>
        </w:rPr>
        <w:t>prowadzona była sprzedaż „dopalaczy”.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6265BF">
        <w:rPr>
          <w:rFonts w:ascii="Tahoma" w:hAnsi="Tahoma" w:cs="Tahoma"/>
          <w:color w:val="000000"/>
          <w:sz w:val="22"/>
          <w:szCs w:val="22"/>
        </w:rPr>
        <w:t xml:space="preserve">Postępowania administracyjne prowadzone </w:t>
      </w:r>
      <w:r w:rsidR="006265BF" w:rsidRPr="006B1D3D">
        <w:rPr>
          <w:rFonts w:ascii="Tahoma" w:hAnsi="Tahoma" w:cs="Tahoma"/>
          <w:color w:val="000000"/>
          <w:sz w:val="22"/>
          <w:szCs w:val="22"/>
        </w:rPr>
        <w:t xml:space="preserve">w roku 2018 dotyczyły głównie spraw przekazywanych przez </w:t>
      </w:r>
      <w:r w:rsidR="006265BF" w:rsidRPr="006B1D3D">
        <w:rPr>
          <w:rFonts w:ascii="Tahoma" w:hAnsi="Tahoma" w:cs="Tahoma"/>
          <w:color w:val="000000"/>
          <w:sz w:val="22"/>
          <w:szCs w:val="22"/>
        </w:rPr>
        <w:lastRenderedPageBreak/>
        <w:t xml:space="preserve">organy ścigania, celem przeprowadzenia postępowania administracyjnego </w:t>
      </w:r>
      <w:r w:rsidR="006265BF" w:rsidRPr="006B1D3D">
        <w:rPr>
          <w:rFonts w:ascii="Tahoma" w:hAnsi="Tahoma" w:cs="Tahoma"/>
          <w:sz w:val="22"/>
          <w:szCs w:val="22"/>
        </w:rPr>
        <w:t xml:space="preserve">w trybie art. 52a w związku z art. 44b ustawy </w:t>
      </w:r>
      <w:r w:rsidR="006265BF" w:rsidRPr="00063777">
        <w:rPr>
          <w:rFonts w:ascii="Tahoma" w:hAnsi="Tahoma" w:cs="Tahoma"/>
          <w:i/>
          <w:sz w:val="22"/>
          <w:szCs w:val="22"/>
        </w:rPr>
        <w:t>o przeciwdziałaniu narkomanii</w:t>
      </w:r>
      <w:r w:rsidR="006265BF" w:rsidRPr="006B1D3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265BF">
        <w:rPr>
          <w:rFonts w:ascii="Tahoma" w:hAnsi="Tahoma" w:cs="Tahoma"/>
          <w:color w:val="000000"/>
          <w:sz w:val="22"/>
          <w:szCs w:val="22"/>
        </w:rPr>
        <w:t>zgodnie z kompetencjami</w:t>
      </w:r>
      <w:r w:rsidR="006265BF">
        <w:rPr>
          <w:b/>
          <w:noProof/>
        </w:rPr>
        <w:t>.</w:t>
      </w:r>
    </w:p>
    <w:p w:rsidR="009E24FD" w:rsidRPr="006265BF" w:rsidRDefault="009E24FD" w:rsidP="009E24FD">
      <w:pPr>
        <w:spacing w:before="120" w:after="120" w:line="360" w:lineRule="auto"/>
        <w:jc w:val="both"/>
        <w:rPr>
          <w:b/>
          <w:noProof/>
        </w:rPr>
      </w:pPr>
      <w:r w:rsidRPr="008C090C">
        <w:rPr>
          <w:rFonts w:ascii="Tahoma" w:hAnsi="Tahoma" w:cs="Tahoma"/>
          <w:sz w:val="22"/>
          <w:szCs w:val="22"/>
        </w:rPr>
        <w:t xml:space="preserve">Na </w:t>
      </w:r>
      <w:r>
        <w:rPr>
          <w:rFonts w:ascii="Tahoma" w:hAnsi="Tahoma" w:cs="Tahoma"/>
          <w:sz w:val="22"/>
          <w:szCs w:val="22"/>
        </w:rPr>
        <w:t>osoby</w:t>
      </w:r>
      <w:r w:rsidRPr="008C090C">
        <w:rPr>
          <w:rFonts w:ascii="Tahoma" w:hAnsi="Tahoma" w:cs="Tahoma"/>
          <w:sz w:val="22"/>
          <w:szCs w:val="22"/>
        </w:rPr>
        <w:t xml:space="preserve">, które złamały zakaz wprowadzania do obrotu na terytorium Rzeczypospolitej </w:t>
      </w:r>
      <w:r w:rsidRPr="00C14757">
        <w:rPr>
          <w:rFonts w:ascii="Tahoma" w:hAnsi="Tahoma" w:cs="Tahoma"/>
          <w:spacing w:val="-2"/>
          <w:sz w:val="22"/>
          <w:szCs w:val="22"/>
        </w:rPr>
        <w:t>Polskiej środków zastępczych</w:t>
      </w:r>
      <w:r>
        <w:rPr>
          <w:rFonts w:ascii="Tahoma" w:hAnsi="Tahoma" w:cs="Tahoma"/>
          <w:spacing w:val="-2"/>
          <w:sz w:val="22"/>
          <w:szCs w:val="22"/>
        </w:rPr>
        <w:t xml:space="preserve"> lub nowych substancji psychoaktywnych</w:t>
      </w:r>
      <w:r w:rsidRPr="00C14757">
        <w:rPr>
          <w:rFonts w:ascii="Tahoma" w:hAnsi="Tahoma" w:cs="Tahoma"/>
          <w:spacing w:val="-2"/>
          <w:sz w:val="22"/>
          <w:szCs w:val="22"/>
        </w:rPr>
        <w:t xml:space="preserve">, nałożone zostały kary pieniężne w łącznej kwocie </w:t>
      </w:r>
      <w:r>
        <w:rPr>
          <w:rFonts w:ascii="Tahoma" w:hAnsi="Tahoma" w:cs="Tahoma"/>
          <w:b/>
          <w:spacing w:val="-2"/>
          <w:sz w:val="22"/>
          <w:szCs w:val="22"/>
        </w:rPr>
        <w:t>2 130 000,00</w:t>
      </w:r>
      <w:r w:rsidRPr="00C14757">
        <w:rPr>
          <w:rFonts w:ascii="Tahoma" w:hAnsi="Tahoma" w:cs="Tahoma"/>
          <w:b/>
          <w:spacing w:val="-2"/>
          <w:sz w:val="22"/>
          <w:szCs w:val="22"/>
        </w:rPr>
        <w:t xml:space="preserve"> zł</w:t>
      </w:r>
      <w:r w:rsidRPr="00C14757">
        <w:rPr>
          <w:rFonts w:ascii="Tahoma" w:hAnsi="Tahoma" w:cs="Tahoma"/>
          <w:spacing w:val="-2"/>
          <w:sz w:val="22"/>
          <w:szCs w:val="22"/>
        </w:rPr>
        <w:t xml:space="preserve">. </w:t>
      </w:r>
      <w:r w:rsidR="006265BF">
        <w:rPr>
          <w:rFonts w:ascii="Tahoma" w:hAnsi="Tahoma" w:cs="Tahoma"/>
          <w:spacing w:val="-2"/>
          <w:sz w:val="22"/>
          <w:szCs w:val="22"/>
        </w:rPr>
        <w:t>[Wykres 1</w:t>
      </w:r>
      <w:r>
        <w:rPr>
          <w:rFonts w:ascii="Tahoma" w:hAnsi="Tahoma" w:cs="Tahoma"/>
          <w:spacing w:val="-2"/>
          <w:sz w:val="22"/>
          <w:szCs w:val="22"/>
        </w:rPr>
        <w:t>]</w:t>
      </w:r>
    </w:p>
    <w:p w:rsidR="009E24FD" w:rsidRPr="006B1D3D" w:rsidRDefault="006265BF" w:rsidP="009E24FD">
      <w:pPr>
        <w:spacing w:before="120" w:after="120" w:line="360" w:lineRule="auto"/>
        <w:jc w:val="center"/>
        <w:rPr>
          <w:rFonts w:ascii="Tahoma" w:hAnsi="Tahoma" w:cs="Tahoma"/>
          <w:i/>
          <w:spacing w:val="-2"/>
          <w:sz w:val="22"/>
          <w:szCs w:val="22"/>
        </w:rPr>
      </w:pPr>
      <w:r>
        <w:rPr>
          <w:b/>
          <w:szCs w:val="22"/>
        </w:rPr>
        <w:t>Wykres 1</w:t>
      </w:r>
      <w:r w:rsidR="009E24FD" w:rsidRPr="006B1D3D">
        <w:rPr>
          <w:szCs w:val="22"/>
        </w:rPr>
        <w:t xml:space="preserve">. </w:t>
      </w:r>
      <w:r w:rsidR="009E24FD">
        <w:rPr>
          <w:i/>
          <w:szCs w:val="22"/>
        </w:rPr>
        <w:t>Kwoty</w:t>
      </w:r>
      <w:r w:rsidR="009E24FD" w:rsidRPr="006B1D3D">
        <w:rPr>
          <w:i/>
          <w:szCs w:val="22"/>
        </w:rPr>
        <w:t xml:space="preserve"> nałożonych kar pieniężnych z art. 52 a </w:t>
      </w:r>
      <w:proofErr w:type="spellStart"/>
      <w:r w:rsidR="009E24FD">
        <w:rPr>
          <w:i/>
          <w:szCs w:val="22"/>
        </w:rPr>
        <w:t>u.o.p.n</w:t>
      </w:r>
      <w:proofErr w:type="spellEnd"/>
      <w:r w:rsidR="009E24FD">
        <w:rPr>
          <w:i/>
          <w:szCs w:val="22"/>
        </w:rPr>
        <w:t xml:space="preserve">. w latach 2016 - 2018 </w:t>
      </w:r>
      <w:r w:rsidR="009E24FD">
        <w:rPr>
          <w:i/>
          <w:szCs w:val="22"/>
        </w:rPr>
        <w:br/>
        <w:t>z podziałem na powiaty</w:t>
      </w:r>
    </w:p>
    <w:p w:rsidR="009E24FD" w:rsidRPr="00C14757" w:rsidRDefault="009E24FD" w:rsidP="009E24FD">
      <w:pPr>
        <w:spacing w:before="120" w:after="120" w:line="360" w:lineRule="auto"/>
        <w:jc w:val="both"/>
        <w:rPr>
          <w:rFonts w:ascii="Tahoma" w:hAnsi="Tahoma" w:cs="Tahoma"/>
          <w:spacing w:val="-2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3549877" wp14:editId="1E8E9B90">
            <wp:extent cx="5760720" cy="3342005"/>
            <wp:effectExtent l="0" t="0" r="11430" b="10795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70E4" w:rsidRPr="00DF0522" w:rsidRDefault="009670E4" w:rsidP="006265BF">
      <w:pPr>
        <w:autoSpaceDE w:val="0"/>
        <w:autoSpaceDN w:val="0"/>
        <w:adjustRightInd w:val="0"/>
        <w:spacing w:before="120" w:after="120" w:line="240" w:lineRule="auto"/>
        <w:rPr>
          <w:i/>
          <w:color w:val="FF0000"/>
          <w:szCs w:val="22"/>
        </w:rPr>
      </w:pPr>
    </w:p>
    <w:p w:rsidR="009E24FD" w:rsidRDefault="009E24FD" w:rsidP="009E24F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C090C">
        <w:rPr>
          <w:rFonts w:ascii="Tahoma" w:hAnsi="Tahoma" w:cs="Tahoma"/>
          <w:sz w:val="22"/>
          <w:szCs w:val="22"/>
        </w:rPr>
        <w:t>O wielkości problemu stale rozwijającego się rynku dopalaczy świadczą również raporty dotyczące ilości podejrzeń zat</w:t>
      </w:r>
      <w:r>
        <w:rPr>
          <w:rFonts w:ascii="Tahoma" w:hAnsi="Tahoma" w:cs="Tahoma"/>
          <w:sz w:val="22"/>
          <w:szCs w:val="22"/>
        </w:rPr>
        <w:t>ruć i zatruć „dopalaczami”. Na terenie woj. małopolskiego w roku 2018 r. odnotowano 237 zgłoszeń zatruć lub podejrzeń zatruć środkami zastępczymi lub nowymi substancjami psychoaktywnymi. Pomimo</w:t>
      </w:r>
      <w:r w:rsidR="00E17019">
        <w:rPr>
          <w:rFonts w:ascii="Tahoma" w:hAnsi="Tahoma" w:cs="Tahoma"/>
          <w:sz w:val="22"/>
          <w:szCs w:val="22"/>
        </w:rPr>
        <w:t xml:space="preserve"> nałożonego Ustawą </w:t>
      </w:r>
      <w:r>
        <w:rPr>
          <w:rFonts w:ascii="Tahoma" w:hAnsi="Tahoma" w:cs="Tahoma"/>
          <w:sz w:val="22"/>
          <w:szCs w:val="22"/>
        </w:rPr>
        <w:t xml:space="preserve">obowiązku </w:t>
      </w:r>
      <w:r w:rsidRPr="00453A68">
        <w:rPr>
          <w:rFonts w:ascii="Tahoma" w:hAnsi="Tahoma" w:cs="Tahoma"/>
          <w:sz w:val="22"/>
          <w:szCs w:val="22"/>
        </w:rPr>
        <w:t>zgłaszania Państwowej Inspekcji Sanitarnej przypadków zatruć środkiem zastępczym lub nową substancją psychoaktywną</w:t>
      </w:r>
      <w:r>
        <w:rPr>
          <w:rFonts w:ascii="Tahoma" w:hAnsi="Tahoma" w:cs="Tahoma"/>
          <w:sz w:val="22"/>
          <w:szCs w:val="22"/>
        </w:rPr>
        <w:t xml:space="preserve"> albo podejrzeń</w:t>
      </w:r>
      <w:r w:rsidRPr="000F1AEE">
        <w:rPr>
          <w:rFonts w:ascii="Tahoma" w:hAnsi="Tahoma" w:cs="Tahoma"/>
          <w:sz w:val="22"/>
          <w:szCs w:val="22"/>
        </w:rPr>
        <w:t xml:space="preserve"> wystąpienia takiego zatrucia albo zgonu, którego przyczyną mogło być albo było zatrucie środkiem zastępczym lu</w:t>
      </w:r>
      <w:r>
        <w:rPr>
          <w:rFonts w:ascii="Tahoma" w:hAnsi="Tahoma" w:cs="Tahoma"/>
          <w:sz w:val="22"/>
          <w:szCs w:val="22"/>
        </w:rPr>
        <w:t>b nową substancją psychoaktywną przez p</w:t>
      </w:r>
      <w:r w:rsidRPr="000F1AEE">
        <w:rPr>
          <w:rFonts w:ascii="Tahoma" w:hAnsi="Tahoma" w:cs="Tahoma"/>
          <w:sz w:val="22"/>
          <w:szCs w:val="22"/>
        </w:rPr>
        <w:t>odmioty wykonujące działalność leczniczą oraz p</w:t>
      </w:r>
      <w:r>
        <w:rPr>
          <w:rFonts w:ascii="Tahoma" w:hAnsi="Tahoma" w:cs="Tahoma"/>
          <w:sz w:val="22"/>
          <w:szCs w:val="22"/>
        </w:rPr>
        <w:t>odmioty przeprowadzające badania</w:t>
      </w:r>
      <w:r w:rsidRPr="000F1AEE">
        <w:rPr>
          <w:rFonts w:ascii="Tahoma" w:hAnsi="Tahoma" w:cs="Tahoma"/>
          <w:sz w:val="22"/>
          <w:szCs w:val="22"/>
        </w:rPr>
        <w:t xml:space="preserve"> </w:t>
      </w:r>
      <w:r w:rsidR="00E17019">
        <w:rPr>
          <w:rFonts w:ascii="Tahoma" w:hAnsi="Tahoma" w:cs="Tahoma"/>
          <w:sz w:val="22"/>
          <w:szCs w:val="22"/>
        </w:rPr>
        <w:t>pośmiertne</w:t>
      </w:r>
      <w:r w:rsidR="00FB3653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na ternie województwa nie odnotowano zwiększonej liczby zatruć </w:t>
      </w:r>
      <w:r w:rsidR="008B7B59">
        <w:rPr>
          <w:rFonts w:ascii="Tahoma" w:hAnsi="Tahoma" w:cs="Tahoma"/>
          <w:sz w:val="22"/>
          <w:szCs w:val="22"/>
        </w:rPr>
        <w:t>w stosunku do roku poprzedniego</w:t>
      </w:r>
      <w:r w:rsidR="006265BF">
        <w:rPr>
          <w:rFonts w:ascii="Tahoma" w:hAnsi="Tahoma" w:cs="Tahoma"/>
          <w:sz w:val="22"/>
          <w:szCs w:val="22"/>
        </w:rPr>
        <w:t xml:space="preserve"> [Wykres 2 - 5</w:t>
      </w:r>
      <w:r>
        <w:rPr>
          <w:rFonts w:ascii="Tahoma" w:hAnsi="Tahoma" w:cs="Tahoma"/>
          <w:sz w:val="22"/>
          <w:szCs w:val="22"/>
        </w:rPr>
        <w:t>]</w:t>
      </w:r>
      <w:r w:rsidR="008B7B59">
        <w:rPr>
          <w:rFonts w:ascii="Tahoma" w:hAnsi="Tahoma" w:cs="Tahoma"/>
          <w:sz w:val="22"/>
          <w:szCs w:val="22"/>
        </w:rPr>
        <w:t>. Dzięki danym, którymi dysponują inspekcje sanitarne można podejmować konkretne działania profilaktyczne kierowane do określonej grupy odbiorców.</w:t>
      </w:r>
    </w:p>
    <w:p w:rsidR="006265BF" w:rsidRDefault="006265BF" w:rsidP="009E24F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9E24FD" w:rsidRPr="00DF0522" w:rsidRDefault="009E24FD" w:rsidP="009E24FD">
      <w:pPr>
        <w:autoSpaceDE w:val="0"/>
        <w:autoSpaceDN w:val="0"/>
        <w:adjustRightInd w:val="0"/>
        <w:spacing w:before="120" w:after="120" w:line="240" w:lineRule="auto"/>
        <w:jc w:val="center"/>
        <w:rPr>
          <w:i/>
          <w:noProof/>
          <w:lang w:eastAsia="pl-PL"/>
        </w:rPr>
      </w:pPr>
      <w:r w:rsidRPr="008A247A">
        <w:rPr>
          <w:b/>
          <w:noProof/>
        </w:rPr>
        <w:t xml:space="preserve">Wykres </w:t>
      </w:r>
      <w:r w:rsidR="006265BF">
        <w:rPr>
          <w:b/>
          <w:noProof/>
        </w:rPr>
        <w:t>2</w:t>
      </w:r>
      <w:r>
        <w:rPr>
          <w:noProof/>
        </w:rPr>
        <w:t xml:space="preserve">. </w:t>
      </w:r>
      <w:r w:rsidRPr="00897E59">
        <w:rPr>
          <w:i/>
          <w:noProof/>
        </w:rPr>
        <w:t>Suma zgłoszeń zatruć i podejrzeń zatruć w woj.</w:t>
      </w:r>
      <w:r>
        <w:rPr>
          <w:i/>
          <w:noProof/>
        </w:rPr>
        <w:t xml:space="preserve"> małopolskim w latach 2016 - 2018 </w:t>
      </w:r>
      <w:r w:rsidRPr="00897E59">
        <w:rPr>
          <w:i/>
          <w:noProof/>
          <w:lang w:eastAsia="pl-PL"/>
        </w:rPr>
        <w:t xml:space="preserve"> </w:t>
      </w:r>
      <w:r>
        <w:rPr>
          <w:i/>
          <w:noProof/>
          <w:lang w:eastAsia="pl-PL"/>
        </w:rPr>
        <w:t xml:space="preserve">        </w:t>
      </w:r>
    </w:p>
    <w:p w:rsidR="009E24FD" w:rsidRDefault="009E24FD" w:rsidP="009E24FD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noProof/>
        </w:rPr>
      </w:pPr>
      <w:r>
        <w:rPr>
          <w:noProof/>
          <w:lang w:eastAsia="pl-PL"/>
        </w:rPr>
        <w:drawing>
          <wp:inline distT="0" distB="0" distL="0" distR="0" wp14:anchorId="3A03CF8B" wp14:editId="1FD3E1EA">
            <wp:extent cx="5724525" cy="3438525"/>
            <wp:effectExtent l="0" t="0" r="9525" b="9525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7B59" w:rsidRDefault="008B7B59" w:rsidP="009E24FD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noProof/>
        </w:rPr>
      </w:pPr>
    </w:p>
    <w:p w:rsidR="009E24FD" w:rsidRDefault="009E24FD" w:rsidP="009E24FD">
      <w:pPr>
        <w:autoSpaceDE w:val="0"/>
        <w:autoSpaceDN w:val="0"/>
        <w:adjustRightInd w:val="0"/>
        <w:spacing w:before="120" w:after="120" w:line="240" w:lineRule="auto"/>
        <w:jc w:val="center"/>
        <w:rPr>
          <w:i/>
          <w:noProof/>
          <w:lang w:eastAsia="pl-PL"/>
        </w:rPr>
      </w:pPr>
      <w:r w:rsidRPr="008A247A">
        <w:rPr>
          <w:b/>
          <w:noProof/>
        </w:rPr>
        <w:t xml:space="preserve">Wykres </w:t>
      </w:r>
      <w:r w:rsidR="006265BF">
        <w:rPr>
          <w:b/>
          <w:noProof/>
        </w:rPr>
        <w:t>3</w:t>
      </w:r>
      <w:r>
        <w:rPr>
          <w:noProof/>
        </w:rPr>
        <w:t xml:space="preserve">. </w:t>
      </w:r>
      <w:r w:rsidRPr="00897E59">
        <w:rPr>
          <w:i/>
          <w:noProof/>
        </w:rPr>
        <w:t xml:space="preserve">Suma zgłoszeń zatruć i podejrzeń zatruć </w:t>
      </w:r>
      <w:r>
        <w:rPr>
          <w:i/>
          <w:noProof/>
          <w:lang w:eastAsia="pl-PL"/>
        </w:rPr>
        <w:t xml:space="preserve">z </w:t>
      </w:r>
      <w:r w:rsidRPr="00897E59">
        <w:rPr>
          <w:i/>
          <w:noProof/>
          <w:lang w:eastAsia="pl-PL"/>
        </w:rPr>
        <w:t>podziałem na miesiące</w:t>
      </w:r>
      <w:r w:rsidRPr="00897E59">
        <w:rPr>
          <w:i/>
          <w:noProof/>
        </w:rPr>
        <w:t xml:space="preserve"> </w:t>
      </w:r>
      <w:r>
        <w:rPr>
          <w:i/>
          <w:noProof/>
        </w:rPr>
        <w:br/>
      </w:r>
      <w:r w:rsidRPr="00897E59">
        <w:rPr>
          <w:i/>
          <w:noProof/>
        </w:rPr>
        <w:t>w woj.</w:t>
      </w:r>
      <w:r>
        <w:rPr>
          <w:i/>
          <w:noProof/>
        </w:rPr>
        <w:t xml:space="preserve"> małopolskim w 2018</w:t>
      </w:r>
      <w:r w:rsidRPr="00897E59">
        <w:rPr>
          <w:i/>
          <w:noProof/>
        </w:rPr>
        <w:t xml:space="preserve"> r.</w:t>
      </w:r>
      <w:r w:rsidRPr="00897E59">
        <w:rPr>
          <w:i/>
          <w:noProof/>
          <w:lang w:eastAsia="pl-PL"/>
        </w:rPr>
        <w:t xml:space="preserve"> </w:t>
      </w:r>
      <w:r>
        <w:rPr>
          <w:i/>
          <w:noProof/>
          <w:lang w:eastAsia="pl-PL"/>
        </w:rPr>
        <w:t xml:space="preserve">         </w:t>
      </w:r>
    </w:p>
    <w:p w:rsidR="00497FAA" w:rsidRPr="008B7B59" w:rsidRDefault="009E24FD" w:rsidP="008B7B59">
      <w:pPr>
        <w:autoSpaceDE w:val="0"/>
        <w:autoSpaceDN w:val="0"/>
        <w:adjustRightInd w:val="0"/>
        <w:spacing w:before="120" w:after="12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3147C43" wp14:editId="03EFE026">
            <wp:extent cx="5760720" cy="3951605"/>
            <wp:effectExtent l="0" t="0" r="11430" b="10795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7019" w:rsidRDefault="00E17019" w:rsidP="000D5C82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noProof/>
        </w:rPr>
      </w:pPr>
    </w:p>
    <w:p w:rsidR="00E17019" w:rsidRDefault="00E17019" w:rsidP="000D5C82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noProof/>
        </w:rPr>
      </w:pPr>
    </w:p>
    <w:p w:rsidR="009E24FD" w:rsidRDefault="009E24FD" w:rsidP="000D5C82">
      <w:pPr>
        <w:autoSpaceDE w:val="0"/>
        <w:autoSpaceDN w:val="0"/>
        <w:adjustRightInd w:val="0"/>
        <w:spacing w:before="120" w:after="120" w:line="240" w:lineRule="auto"/>
        <w:jc w:val="center"/>
        <w:rPr>
          <w:i/>
          <w:noProof/>
          <w:lang w:eastAsia="pl-PL"/>
        </w:rPr>
      </w:pPr>
      <w:r w:rsidRPr="008A247A">
        <w:rPr>
          <w:b/>
          <w:noProof/>
        </w:rPr>
        <w:t xml:space="preserve">Wykres </w:t>
      </w:r>
      <w:r w:rsidR="006265BF">
        <w:rPr>
          <w:b/>
          <w:noProof/>
        </w:rPr>
        <w:t>4</w:t>
      </w:r>
      <w:r>
        <w:rPr>
          <w:noProof/>
        </w:rPr>
        <w:t xml:space="preserve">. </w:t>
      </w:r>
      <w:r w:rsidRPr="00897E59">
        <w:rPr>
          <w:i/>
          <w:noProof/>
        </w:rPr>
        <w:t xml:space="preserve">Suma zgłoszeń zatruć i podejrzeń zatruć </w:t>
      </w:r>
      <w:r>
        <w:rPr>
          <w:i/>
          <w:noProof/>
          <w:lang w:eastAsia="pl-PL"/>
        </w:rPr>
        <w:t xml:space="preserve">z </w:t>
      </w:r>
      <w:r w:rsidRPr="00897E59">
        <w:rPr>
          <w:i/>
          <w:noProof/>
          <w:lang w:eastAsia="pl-PL"/>
        </w:rPr>
        <w:t>podziałem na miesiące</w:t>
      </w:r>
      <w:r w:rsidRPr="00897E59">
        <w:rPr>
          <w:i/>
          <w:noProof/>
        </w:rPr>
        <w:t xml:space="preserve"> </w:t>
      </w:r>
      <w:r>
        <w:rPr>
          <w:i/>
          <w:noProof/>
        </w:rPr>
        <w:br/>
      </w:r>
      <w:r w:rsidRPr="00897E59">
        <w:rPr>
          <w:i/>
          <w:noProof/>
        </w:rPr>
        <w:t>w woj.</w:t>
      </w:r>
      <w:r>
        <w:rPr>
          <w:i/>
          <w:noProof/>
        </w:rPr>
        <w:t xml:space="preserve"> małopolskim w latach 2016 - 2018 </w:t>
      </w:r>
      <w:r>
        <w:rPr>
          <w:i/>
          <w:noProof/>
          <w:lang w:eastAsia="pl-PL"/>
        </w:rPr>
        <w:t xml:space="preserve">        </w:t>
      </w:r>
    </w:p>
    <w:p w:rsidR="009E24FD" w:rsidRDefault="009E24FD" w:rsidP="009E24FD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noProof/>
        </w:rPr>
      </w:pPr>
      <w:r>
        <w:rPr>
          <w:noProof/>
          <w:lang w:eastAsia="pl-PL"/>
        </w:rPr>
        <w:drawing>
          <wp:inline distT="0" distB="0" distL="0" distR="0" wp14:anchorId="2476C20F" wp14:editId="7AFF9263">
            <wp:extent cx="5480790" cy="3147107"/>
            <wp:effectExtent l="0" t="0" r="5715" b="1524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24FD" w:rsidRDefault="009E24FD" w:rsidP="009E24FD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noProof/>
        </w:rPr>
      </w:pPr>
    </w:p>
    <w:p w:rsidR="009E24FD" w:rsidRDefault="009E24FD" w:rsidP="000D5C82">
      <w:pPr>
        <w:autoSpaceDE w:val="0"/>
        <w:autoSpaceDN w:val="0"/>
        <w:adjustRightInd w:val="0"/>
        <w:spacing w:before="120" w:after="120" w:line="240" w:lineRule="auto"/>
        <w:jc w:val="center"/>
        <w:rPr>
          <w:i/>
          <w:noProof/>
          <w:lang w:eastAsia="pl-PL"/>
        </w:rPr>
      </w:pPr>
      <w:r w:rsidRPr="008A247A">
        <w:rPr>
          <w:b/>
          <w:noProof/>
        </w:rPr>
        <w:t xml:space="preserve">Wykres </w:t>
      </w:r>
      <w:r w:rsidR="006265BF">
        <w:rPr>
          <w:b/>
          <w:noProof/>
        </w:rPr>
        <w:t>5</w:t>
      </w:r>
      <w:r>
        <w:rPr>
          <w:b/>
          <w:noProof/>
        </w:rPr>
        <w:t>.</w:t>
      </w:r>
      <w:r>
        <w:rPr>
          <w:noProof/>
        </w:rPr>
        <w:t xml:space="preserve"> </w:t>
      </w:r>
      <w:r w:rsidRPr="00897E59">
        <w:rPr>
          <w:i/>
          <w:noProof/>
        </w:rPr>
        <w:t>Suma zgłoszeń zatruć i podejrzeń zatruć</w:t>
      </w:r>
      <w:r>
        <w:rPr>
          <w:i/>
          <w:noProof/>
          <w:lang w:eastAsia="pl-PL"/>
        </w:rPr>
        <w:t xml:space="preserve"> z </w:t>
      </w:r>
      <w:r w:rsidRPr="00897E59">
        <w:rPr>
          <w:i/>
          <w:noProof/>
          <w:lang w:eastAsia="pl-PL"/>
        </w:rPr>
        <w:t xml:space="preserve">podziałem na </w:t>
      </w:r>
      <w:r>
        <w:rPr>
          <w:i/>
          <w:noProof/>
          <w:lang w:eastAsia="pl-PL"/>
        </w:rPr>
        <w:t>powiaty</w:t>
      </w:r>
      <w:r w:rsidRPr="00897E59">
        <w:rPr>
          <w:i/>
          <w:noProof/>
        </w:rPr>
        <w:t xml:space="preserve"> </w:t>
      </w:r>
      <w:r>
        <w:rPr>
          <w:i/>
          <w:noProof/>
        </w:rPr>
        <w:br/>
        <w:t>w woj. małopolskim w 2018</w:t>
      </w:r>
      <w:r w:rsidRPr="00897E59">
        <w:rPr>
          <w:i/>
          <w:noProof/>
        </w:rPr>
        <w:t xml:space="preserve"> r.</w:t>
      </w:r>
      <w:r w:rsidRPr="00897E59">
        <w:rPr>
          <w:i/>
          <w:noProof/>
          <w:lang w:eastAsia="pl-PL"/>
        </w:rPr>
        <w:t xml:space="preserve"> </w:t>
      </w:r>
    </w:p>
    <w:p w:rsidR="009E24FD" w:rsidRPr="000D5C82" w:rsidRDefault="009E24FD" w:rsidP="000D5C82">
      <w:pPr>
        <w:autoSpaceDE w:val="0"/>
        <w:autoSpaceDN w:val="0"/>
        <w:adjustRightInd w:val="0"/>
        <w:spacing w:before="120" w:after="120" w:line="240" w:lineRule="auto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 wp14:anchorId="399FD11B" wp14:editId="743B260A">
            <wp:extent cx="5469570" cy="4050287"/>
            <wp:effectExtent l="0" t="0" r="17145" b="762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3653" w:rsidRDefault="00FB365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B3653" w:rsidRDefault="00FB3653" w:rsidP="008959F8">
      <w:pPr>
        <w:autoSpaceDE w:val="0"/>
        <w:autoSpaceDN w:val="0"/>
        <w:adjustRightInd w:val="0"/>
        <w:spacing w:before="120" w:after="120" w:line="240" w:lineRule="auto"/>
        <w:jc w:val="center"/>
        <w:rPr>
          <w:b/>
        </w:rPr>
      </w:pPr>
    </w:p>
    <w:p w:rsidR="009E24FD" w:rsidRPr="00ED6566" w:rsidRDefault="009E24FD" w:rsidP="008959F8">
      <w:pPr>
        <w:autoSpaceDE w:val="0"/>
        <w:autoSpaceDN w:val="0"/>
        <w:adjustRightInd w:val="0"/>
        <w:spacing w:before="120" w:after="120" w:line="240" w:lineRule="auto"/>
        <w:jc w:val="center"/>
        <w:rPr>
          <w:i/>
          <w:noProof/>
        </w:rPr>
      </w:pPr>
      <w:r w:rsidRPr="006D3C57">
        <w:rPr>
          <w:b/>
        </w:rPr>
        <w:t>Wykres</w:t>
      </w:r>
      <w:r>
        <w:rPr>
          <w:b/>
        </w:rPr>
        <w:t xml:space="preserve"> </w:t>
      </w:r>
      <w:r w:rsidR="006265BF">
        <w:rPr>
          <w:b/>
        </w:rPr>
        <w:t>6</w:t>
      </w:r>
      <w:r>
        <w:rPr>
          <w:b/>
        </w:rPr>
        <w:t>.</w:t>
      </w:r>
      <w:r w:rsidRPr="006D3C57">
        <w:rPr>
          <w:i/>
          <w:noProof/>
        </w:rPr>
        <w:t xml:space="preserve"> Suma zgłoszeń zatruć i podejrzeń zatruć </w:t>
      </w:r>
      <w:r w:rsidRPr="006D3C57">
        <w:rPr>
          <w:i/>
        </w:rPr>
        <w:t xml:space="preserve">z podziałem wg. grup wiekowych </w:t>
      </w:r>
      <w:r>
        <w:rPr>
          <w:i/>
        </w:rPr>
        <w:br/>
      </w:r>
      <w:r w:rsidRPr="006D3C57">
        <w:rPr>
          <w:i/>
          <w:noProof/>
        </w:rPr>
        <w:t>w woj. małopolskim w 201</w:t>
      </w:r>
      <w:r>
        <w:rPr>
          <w:i/>
          <w:noProof/>
        </w:rPr>
        <w:t>8</w:t>
      </w:r>
      <w:r w:rsidRPr="006D3C57">
        <w:rPr>
          <w:i/>
          <w:noProof/>
        </w:rPr>
        <w:t xml:space="preserve"> r</w:t>
      </w:r>
      <w:r>
        <w:rPr>
          <w:i/>
          <w:noProof/>
        </w:rPr>
        <w:t>.</w:t>
      </w:r>
    </w:p>
    <w:p w:rsidR="009E24FD" w:rsidRDefault="009E24FD" w:rsidP="009E24F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1EACE95B" wp14:editId="6A810F77">
            <wp:extent cx="5686425" cy="3400425"/>
            <wp:effectExtent l="0" t="0" r="9525" b="9525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7019" w:rsidRDefault="00E17019" w:rsidP="009E24F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9E24FD" w:rsidRDefault="00E17019" w:rsidP="009E24F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332C22">
        <w:rPr>
          <w:rFonts w:ascii="Tahoma" w:hAnsi="Tahoma" w:cs="Tahoma"/>
          <w:sz w:val="22"/>
          <w:szCs w:val="22"/>
        </w:rPr>
        <w:t xml:space="preserve"> zakresie działań profilaktycznych </w:t>
      </w:r>
      <w:r>
        <w:rPr>
          <w:rFonts w:ascii="Tahoma" w:hAnsi="Tahoma" w:cs="Tahoma"/>
          <w:sz w:val="22"/>
          <w:szCs w:val="22"/>
        </w:rPr>
        <w:t>w</w:t>
      </w:r>
      <w:r w:rsidR="009E24FD" w:rsidRPr="00332C22">
        <w:rPr>
          <w:rFonts w:ascii="Tahoma" w:hAnsi="Tahoma" w:cs="Tahoma"/>
          <w:sz w:val="22"/>
          <w:szCs w:val="22"/>
        </w:rPr>
        <w:t xml:space="preserve"> roku 201</w:t>
      </w:r>
      <w:r w:rsidR="00B727D0" w:rsidRPr="00332C22">
        <w:rPr>
          <w:rFonts w:ascii="Tahoma" w:hAnsi="Tahoma" w:cs="Tahoma"/>
          <w:sz w:val="22"/>
          <w:szCs w:val="22"/>
        </w:rPr>
        <w:t>8</w:t>
      </w:r>
      <w:r w:rsidR="009E24FD" w:rsidRPr="00332C22">
        <w:rPr>
          <w:rFonts w:ascii="Tahoma" w:hAnsi="Tahoma" w:cs="Tahoma"/>
          <w:sz w:val="22"/>
          <w:szCs w:val="22"/>
        </w:rPr>
        <w:t xml:space="preserve"> </w:t>
      </w:r>
      <w:r w:rsidR="00FB3653">
        <w:rPr>
          <w:rFonts w:ascii="Tahoma" w:hAnsi="Tahoma" w:cs="Tahoma"/>
          <w:sz w:val="22"/>
          <w:szCs w:val="22"/>
        </w:rPr>
        <w:t xml:space="preserve">organy </w:t>
      </w:r>
      <w:r w:rsidR="00B727D0" w:rsidRPr="00332C22">
        <w:rPr>
          <w:rFonts w:ascii="Tahoma" w:hAnsi="Tahoma" w:cs="Tahoma"/>
          <w:sz w:val="22"/>
          <w:szCs w:val="22"/>
        </w:rPr>
        <w:t>Państwowe</w:t>
      </w:r>
      <w:r w:rsidR="00FB3653">
        <w:rPr>
          <w:rFonts w:ascii="Tahoma" w:hAnsi="Tahoma" w:cs="Tahoma"/>
          <w:sz w:val="22"/>
          <w:szCs w:val="22"/>
        </w:rPr>
        <w:t>j Inspekcji</w:t>
      </w:r>
      <w:r w:rsidR="00B727D0" w:rsidRPr="00332C22">
        <w:rPr>
          <w:rFonts w:ascii="Tahoma" w:hAnsi="Tahoma" w:cs="Tahoma"/>
          <w:sz w:val="22"/>
          <w:szCs w:val="22"/>
        </w:rPr>
        <w:t xml:space="preserve"> Sanitarne</w:t>
      </w:r>
      <w:r w:rsidR="00FB3653">
        <w:rPr>
          <w:rFonts w:ascii="Tahoma" w:hAnsi="Tahoma" w:cs="Tahoma"/>
          <w:sz w:val="22"/>
          <w:szCs w:val="22"/>
        </w:rPr>
        <w:t>j</w:t>
      </w:r>
      <w:r w:rsidR="009E24FD" w:rsidRPr="00332C22">
        <w:rPr>
          <w:rFonts w:ascii="Tahoma" w:hAnsi="Tahoma" w:cs="Tahoma"/>
          <w:sz w:val="22"/>
          <w:szCs w:val="22"/>
        </w:rPr>
        <w:t xml:space="preserve"> współpracowały ściśle z jednostkami organizacyjnymi, takimi jak szkoły</w:t>
      </w:r>
      <w:r w:rsidR="008B7B59" w:rsidRPr="00332C22">
        <w:rPr>
          <w:rFonts w:ascii="Tahoma" w:hAnsi="Tahoma" w:cs="Tahoma"/>
          <w:sz w:val="22"/>
          <w:szCs w:val="22"/>
        </w:rPr>
        <w:t>, instytucje</w:t>
      </w:r>
      <w:r w:rsidR="009E24FD" w:rsidRPr="00332C22">
        <w:rPr>
          <w:rFonts w:ascii="Tahoma" w:hAnsi="Tahoma" w:cs="Tahoma"/>
          <w:sz w:val="22"/>
          <w:szCs w:val="22"/>
        </w:rPr>
        <w:t xml:space="preserve"> i podmioty lecznicze. Działania polegały m.in. na </w:t>
      </w:r>
      <w:r>
        <w:rPr>
          <w:rFonts w:ascii="Tahoma" w:hAnsi="Tahoma" w:cs="Tahoma"/>
          <w:sz w:val="22"/>
          <w:szCs w:val="22"/>
        </w:rPr>
        <w:t xml:space="preserve">rozdystrybuowaniu </w:t>
      </w:r>
      <w:r w:rsidR="006265BF">
        <w:rPr>
          <w:rFonts w:ascii="Tahoma" w:hAnsi="Tahoma" w:cs="Tahoma"/>
          <w:sz w:val="22"/>
          <w:szCs w:val="22"/>
        </w:rPr>
        <w:t>ulotek, gdzie s</w:t>
      </w:r>
      <w:r w:rsidR="009E24FD" w:rsidRPr="008C090C">
        <w:rPr>
          <w:rFonts w:ascii="Tahoma" w:hAnsi="Tahoma" w:cs="Tahoma"/>
          <w:sz w:val="22"/>
          <w:szCs w:val="22"/>
        </w:rPr>
        <w:t>zacuje się, iż</w:t>
      </w:r>
      <w:r w:rsidR="009E24FD">
        <w:rPr>
          <w:rFonts w:ascii="Tahoma" w:hAnsi="Tahoma" w:cs="Tahoma"/>
          <w:sz w:val="22"/>
          <w:szCs w:val="22"/>
        </w:rPr>
        <w:t xml:space="preserve"> w </w:t>
      </w:r>
      <w:r w:rsidR="009E24FD" w:rsidRPr="008C090C">
        <w:rPr>
          <w:rFonts w:ascii="Tahoma" w:hAnsi="Tahoma" w:cs="Tahoma"/>
          <w:sz w:val="22"/>
          <w:szCs w:val="22"/>
        </w:rPr>
        <w:t xml:space="preserve">województwie małopolskim liczba odbiorców materiałów dydaktycznych wyniosła około </w:t>
      </w:r>
      <w:r w:rsidR="009E24FD" w:rsidRPr="008C090C">
        <w:rPr>
          <w:rFonts w:ascii="Tahoma" w:hAnsi="Tahoma" w:cs="Tahoma"/>
          <w:b/>
          <w:bCs/>
          <w:sz w:val="22"/>
          <w:szCs w:val="22"/>
        </w:rPr>
        <w:t>4</w:t>
      </w:r>
      <w:r w:rsidR="008B7B59">
        <w:rPr>
          <w:rFonts w:ascii="Tahoma" w:hAnsi="Tahoma" w:cs="Tahoma"/>
          <w:b/>
          <w:bCs/>
          <w:sz w:val="22"/>
          <w:szCs w:val="22"/>
        </w:rPr>
        <w:t>0</w:t>
      </w:r>
      <w:r w:rsidR="009E24FD" w:rsidRPr="008C090C">
        <w:rPr>
          <w:rFonts w:ascii="Tahoma" w:hAnsi="Tahoma" w:cs="Tahoma"/>
          <w:b/>
          <w:bCs/>
          <w:sz w:val="22"/>
          <w:szCs w:val="22"/>
        </w:rPr>
        <w:t xml:space="preserve">00 </w:t>
      </w:r>
      <w:r w:rsidR="009E24FD" w:rsidRPr="008C090C">
        <w:rPr>
          <w:rFonts w:ascii="Tahoma" w:hAnsi="Tahoma" w:cs="Tahoma"/>
          <w:sz w:val="22"/>
          <w:szCs w:val="22"/>
        </w:rPr>
        <w:t>osób.</w:t>
      </w:r>
      <w:r w:rsidR="009E24FD">
        <w:rPr>
          <w:rFonts w:ascii="Tahoma" w:hAnsi="Tahoma" w:cs="Tahoma"/>
          <w:sz w:val="22"/>
          <w:szCs w:val="22"/>
        </w:rPr>
        <w:t xml:space="preserve"> </w:t>
      </w:r>
    </w:p>
    <w:p w:rsidR="006265BF" w:rsidRPr="001D25C6" w:rsidRDefault="009E24FD" w:rsidP="006265B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905FF6">
        <w:rPr>
          <w:rFonts w:ascii="Tahoma" w:hAnsi="Tahoma" w:cs="Tahoma"/>
          <w:sz w:val="22"/>
          <w:szCs w:val="22"/>
        </w:rPr>
        <w:t>W ramach działalno</w:t>
      </w:r>
      <w:r w:rsidR="00332C22">
        <w:rPr>
          <w:rFonts w:ascii="Tahoma" w:hAnsi="Tahoma" w:cs="Tahoma"/>
          <w:sz w:val="22"/>
          <w:szCs w:val="22"/>
        </w:rPr>
        <w:t xml:space="preserve">ści edukacyjno-profilaktycznej </w:t>
      </w:r>
      <w:r w:rsidRPr="00905FF6">
        <w:rPr>
          <w:rFonts w:ascii="Tahoma" w:hAnsi="Tahoma" w:cs="Tahoma"/>
          <w:sz w:val="22"/>
          <w:szCs w:val="22"/>
        </w:rPr>
        <w:t>organizowano konferencje oraz szkolenia dla pedagogów, nauczycieli, dyrektorów szkół, rodziców</w:t>
      </w:r>
      <w:r w:rsidR="00B727D0">
        <w:rPr>
          <w:rFonts w:ascii="Tahoma" w:hAnsi="Tahoma" w:cs="Tahoma"/>
          <w:sz w:val="22"/>
          <w:szCs w:val="22"/>
        </w:rPr>
        <w:t xml:space="preserve"> oraz młodzieży szkół podstawowych, gimnazjalnych oraz ponadgimnazjalnych</w:t>
      </w:r>
      <w:r w:rsidRPr="00905FF6">
        <w:rPr>
          <w:rFonts w:ascii="Tahoma" w:hAnsi="Tahoma" w:cs="Tahoma"/>
          <w:sz w:val="22"/>
          <w:szCs w:val="22"/>
        </w:rPr>
        <w:t xml:space="preserve">. Ponadto organizowano i współuczestniczono </w:t>
      </w:r>
      <w:r w:rsidR="00332C22">
        <w:rPr>
          <w:rFonts w:ascii="Tahoma" w:hAnsi="Tahoma" w:cs="Tahoma"/>
          <w:sz w:val="22"/>
          <w:szCs w:val="22"/>
        </w:rPr>
        <w:br/>
      </w:r>
      <w:r w:rsidRPr="00905FF6">
        <w:rPr>
          <w:rFonts w:ascii="Tahoma" w:hAnsi="Tahoma" w:cs="Tahoma"/>
          <w:sz w:val="22"/>
          <w:szCs w:val="22"/>
        </w:rPr>
        <w:t xml:space="preserve">w realizacji programów profilaktycznych propagujących zdrowy styl życia, wolny od uzależnień oraz uczestniczono w szkoleniach związanych z </w:t>
      </w:r>
      <w:r>
        <w:rPr>
          <w:rFonts w:ascii="Tahoma" w:hAnsi="Tahoma" w:cs="Tahoma"/>
          <w:sz w:val="22"/>
          <w:szCs w:val="22"/>
        </w:rPr>
        <w:t>szeroko pojętą promocją zdrowia</w:t>
      </w:r>
      <w:r w:rsidR="001B1EC2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7678E6">
        <w:rPr>
          <w:rFonts w:ascii="Tahoma" w:hAnsi="Tahoma" w:cs="Tahoma"/>
          <w:sz w:val="22"/>
          <w:szCs w:val="22"/>
        </w:rPr>
        <w:t>Mając na względzie szkodliwe działanie środków zastępczych i nowych substancji p</w:t>
      </w:r>
      <w:r w:rsidR="006265BF">
        <w:rPr>
          <w:rFonts w:ascii="Tahoma" w:hAnsi="Tahoma" w:cs="Tahoma"/>
          <w:sz w:val="22"/>
          <w:szCs w:val="22"/>
        </w:rPr>
        <w:t>sychoaktywnych tzw. „dopalaczy” p</w:t>
      </w:r>
      <w:r w:rsidR="001B1EC2">
        <w:rPr>
          <w:rFonts w:ascii="Tahoma" w:hAnsi="Tahoma" w:cs="Tahoma"/>
          <w:sz w:val="22"/>
          <w:szCs w:val="22"/>
        </w:rPr>
        <w:t>r</w:t>
      </w:r>
      <w:r w:rsidR="006265BF">
        <w:rPr>
          <w:rFonts w:ascii="Tahoma" w:hAnsi="Tahoma" w:cs="Tahoma"/>
          <w:sz w:val="22"/>
          <w:szCs w:val="22"/>
        </w:rPr>
        <w:t xml:space="preserve">zeprowadzono szereg </w:t>
      </w:r>
      <w:r w:rsidR="001B1EC2">
        <w:rPr>
          <w:rFonts w:ascii="Tahoma" w:hAnsi="Tahoma" w:cs="Tahoma"/>
          <w:sz w:val="22"/>
          <w:szCs w:val="22"/>
        </w:rPr>
        <w:t>działań profilaktyczno-edukacyjnych</w:t>
      </w:r>
      <w:r w:rsidR="006265BF">
        <w:rPr>
          <w:rFonts w:ascii="Tahoma" w:hAnsi="Tahoma" w:cs="Tahoma"/>
          <w:sz w:val="22"/>
          <w:szCs w:val="22"/>
        </w:rPr>
        <w:t xml:space="preserve">, w ramach których </w:t>
      </w:r>
      <w:r w:rsidR="001B1EC2">
        <w:rPr>
          <w:rFonts w:ascii="Tahoma" w:hAnsi="Tahoma" w:cs="Tahoma"/>
          <w:sz w:val="22"/>
          <w:szCs w:val="22"/>
        </w:rPr>
        <w:t xml:space="preserve"> o</w:t>
      </w:r>
      <w:r w:rsidR="001B1EC2" w:rsidRPr="001B1EC2">
        <w:rPr>
          <w:rFonts w:ascii="Tahoma" w:hAnsi="Tahoma" w:cs="Tahoma"/>
          <w:sz w:val="22"/>
          <w:szCs w:val="22"/>
        </w:rPr>
        <w:t>rganiz</w:t>
      </w:r>
      <w:r w:rsidR="006265BF">
        <w:rPr>
          <w:rFonts w:ascii="Tahoma" w:hAnsi="Tahoma" w:cs="Tahoma"/>
          <w:sz w:val="22"/>
          <w:szCs w:val="22"/>
        </w:rPr>
        <w:t xml:space="preserve">owano </w:t>
      </w:r>
      <w:r w:rsidR="001B1EC2">
        <w:rPr>
          <w:rFonts w:ascii="Tahoma" w:hAnsi="Tahoma" w:cs="Tahoma"/>
          <w:sz w:val="22"/>
          <w:szCs w:val="22"/>
        </w:rPr>
        <w:t xml:space="preserve">i </w:t>
      </w:r>
      <w:r w:rsidR="001B1EC2" w:rsidRPr="001B1EC2">
        <w:rPr>
          <w:rFonts w:ascii="Tahoma" w:hAnsi="Tahoma" w:cs="Tahoma"/>
          <w:sz w:val="22"/>
          <w:szCs w:val="22"/>
        </w:rPr>
        <w:t>współuczestniczono w szeregu imprez jakie odbywały si</w:t>
      </w:r>
      <w:r w:rsidR="006265BF">
        <w:rPr>
          <w:rFonts w:ascii="Tahoma" w:hAnsi="Tahoma" w:cs="Tahoma"/>
          <w:sz w:val="22"/>
          <w:szCs w:val="22"/>
        </w:rPr>
        <w:t xml:space="preserve">ę na terenie woj. małopolskiego. </w:t>
      </w:r>
      <w:r w:rsidR="006265BF" w:rsidRPr="001D25C6">
        <w:rPr>
          <w:rFonts w:ascii="Tahoma" w:hAnsi="Tahoma" w:cs="Tahoma"/>
          <w:sz w:val="22"/>
          <w:szCs w:val="22"/>
        </w:rPr>
        <w:t>W związku z podejmowanymi działani</w:t>
      </w:r>
      <w:r w:rsidR="006265BF">
        <w:rPr>
          <w:rFonts w:ascii="Tahoma" w:hAnsi="Tahoma" w:cs="Tahoma"/>
          <w:sz w:val="22"/>
          <w:szCs w:val="22"/>
        </w:rPr>
        <w:t xml:space="preserve">ami edukacyjnymi w roku 2018 </w:t>
      </w:r>
      <w:r w:rsidR="006265BF" w:rsidRPr="001D25C6">
        <w:rPr>
          <w:rFonts w:ascii="Tahoma" w:hAnsi="Tahoma" w:cs="Tahoma"/>
          <w:sz w:val="22"/>
          <w:szCs w:val="22"/>
        </w:rPr>
        <w:t xml:space="preserve">zostało bezpośrednio przeszkolonych ponad </w:t>
      </w:r>
      <w:r w:rsidR="006265BF" w:rsidRPr="001D25C6">
        <w:rPr>
          <w:rFonts w:ascii="Tahoma" w:hAnsi="Tahoma" w:cs="Tahoma"/>
          <w:b/>
          <w:sz w:val="22"/>
          <w:szCs w:val="22"/>
        </w:rPr>
        <w:t xml:space="preserve">6000 </w:t>
      </w:r>
      <w:r w:rsidR="006265BF" w:rsidRPr="001D25C6">
        <w:rPr>
          <w:rFonts w:ascii="Tahoma" w:hAnsi="Tahoma" w:cs="Tahoma"/>
          <w:sz w:val="22"/>
          <w:szCs w:val="22"/>
        </w:rPr>
        <w:t>uczniów szkół pod</w:t>
      </w:r>
      <w:r w:rsidR="006265BF">
        <w:rPr>
          <w:rFonts w:ascii="Tahoma" w:hAnsi="Tahoma" w:cs="Tahoma"/>
          <w:sz w:val="22"/>
          <w:szCs w:val="22"/>
        </w:rPr>
        <w:t xml:space="preserve">stawowych, </w:t>
      </w:r>
      <w:r w:rsidR="006265BF" w:rsidRPr="001D25C6">
        <w:rPr>
          <w:rFonts w:ascii="Tahoma" w:hAnsi="Tahoma" w:cs="Tahoma"/>
          <w:sz w:val="22"/>
          <w:szCs w:val="22"/>
        </w:rPr>
        <w:t>gimnazjalnych i ponad</w:t>
      </w:r>
      <w:r w:rsidR="006265BF">
        <w:rPr>
          <w:rFonts w:ascii="Tahoma" w:hAnsi="Tahoma" w:cs="Tahoma"/>
          <w:sz w:val="22"/>
          <w:szCs w:val="22"/>
        </w:rPr>
        <w:t xml:space="preserve">gimnazjalnych oraz </w:t>
      </w:r>
      <w:r w:rsidR="006265BF" w:rsidRPr="001D25C6">
        <w:rPr>
          <w:rFonts w:ascii="Tahoma" w:hAnsi="Tahoma" w:cs="Tahoma"/>
          <w:sz w:val="22"/>
          <w:szCs w:val="22"/>
        </w:rPr>
        <w:t xml:space="preserve">ponad </w:t>
      </w:r>
      <w:r w:rsidR="006265BF" w:rsidRPr="001D25C6">
        <w:rPr>
          <w:rFonts w:ascii="Tahoma" w:hAnsi="Tahoma" w:cs="Tahoma"/>
          <w:b/>
          <w:sz w:val="22"/>
          <w:szCs w:val="22"/>
        </w:rPr>
        <w:t>2000</w:t>
      </w:r>
      <w:r w:rsidR="006265BF" w:rsidRPr="001D25C6">
        <w:rPr>
          <w:rFonts w:ascii="Tahoma" w:hAnsi="Tahoma" w:cs="Tahoma"/>
          <w:sz w:val="22"/>
          <w:szCs w:val="22"/>
        </w:rPr>
        <w:t xml:space="preserve"> rodziców i pedagogów szkolnych. </w:t>
      </w:r>
    </w:p>
    <w:p w:rsidR="001B1EC2" w:rsidRPr="001B1EC2" w:rsidRDefault="001B1EC2" w:rsidP="001B1EC2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9E24FD" w:rsidRPr="008F50F4" w:rsidRDefault="009E24FD" w:rsidP="009E24F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Bardzo ważnym elementem w podejmowanych przez Państwową Inspekcję Sanitarną działaniach z zakresu zwalczania nowych narkotyków jest funkcjonowanie bezpłatnej infolinii </w:t>
      </w:r>
      <w:r w:rsidRPr="00FB3653">
        <w:rPr>
          <w:rFonts w:ascii="Tahoma" w:hAnsi="Tahoma" w:cs="Tahoma"/>
          <w:b/>
          <w:sz w:val="22"/>
          <w:szCs w:val="22"/>
        </w:rPr>
        <w:t>800 060 800</w:t>
      </w:r>
      <w:r>
        <w:rPr>
          <w:rFonts w:ascii="Tahoma" w:hAnsi="Tahoma" w:cs="Tahoma"/>
          <w:sz w:val="22"/>
          <w:szCs w:val="22"/>
        </w:rPr>
        <w:t xml:space="preserve">. Infolinia nadal jest aktywna 24 godziny na dobę. W 2018 r. </w:t>
      </w:r>
      <w:r w:rsidRPr="008C090C">
        <w:rPr>
          <w:rFonts w:ascii="Tahoma" w:hAnsi="Tahoma" w:cs="Tahoma"/>
          <w:sz w:val="22"/>
          <w:szCs w:val="22"/>
        </w:rPr>
        <w:t>pracownicy Wojewódzkiej Stacji Sanitarno-Epidemiologicznej</w:t>
      </w:r>
      <w:r>
        <w:rPr>
          <w:rFonts w:ascii="Tahoma" w:hAnsi="Tahoma" w:cs="Tahoma"/>
          <w:sz w:val="22"/>
          <w:szCs w:val="22"/>
        </w:rPr>
        <w:t xml:space="preserve"> w Krakowie odnotowali spadek liczby połączeń </w:t>
      </w:r>
      <w:r w:rsidRPr="00CA6F24">
        <w:rPr>
          <w:rFonts w:ascii="Tahoma" w:hAnsi="Tahoma" w:cs="Tahoma"/>
          <w:sz w:val="22"/>
          <w:szCs w:val="22"/>
        </w:rPr>
        <w:t>na infolinię „</w:t>
      </w:r>
      <w:proofErr w:type="spellStart"/>
      <w:r w:rsidRPr="00CA6F24">
        <w:rPr>
          <w:rFonts w:ascii="Tahoma" w:hAnsi="Tahoma" w:cs="Tahoma"/>
          <w:sz w:val="22"/>
          <w:szCs w:val="22"/>
        </w:rPr>
        <w:t>dopalaczową</w:t>
      </w:r>
      <w:proofErr w:type="spellEnd"/>
      <w:r w:rsidRPr="00CA6F24">
        <w:rPr>
          <w:rFonts w:ascii="Tahoma" w:hAnsi="Tahoma" w:cs="Tahoma"/>
          <w:sz w:val="22"/>
          <w:szCs w:val="22"/>
        </w:rPr>
        <w:t>”</w:t>
      </w:r>
      <w:r w:rsidR="0080119F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Zaobserwowany spadek połączeń wynika </w:t>
      </w:r>
      <w:r>
        <w:rPr>
          <w:rFonts w:ascii="Tahoma" w:hAnsi="Tahoma" w:cs="Tahoma"/>
          <w:sz w:val="22"/>
          <w:szCs w:val="22"/>
        </w:rPr>
        <w:br/>
        <w:t>z konkretn</w:t>
      </w:r>
      <w:r w:rsidR="000B2D8C">
        <w:rPr>
          <w:rFonts w:ascii="Tahoma" w:hAnsi="Tahoma" w:cs="Tahoma"/>
          <w:sz w:val="22"/>
          <w:szCs w:val="22"/>
        </w:rPr>
        <w:t>ych działań prowadzonych przez inspekcje s</w:t>
      </w:r>
      <w:r>
        <w:rPr>
          <w:rFonts w:ascii="Tahoma" w:hAnsi="Tahoma" w:cs="Tahoma"/>
          <w:sz w:val="22"/>
          <w:szCs w:val="22"/>
        </w:rPr>
        <w:t>anitarne mające na celu poszerzenie wiedzy z zakresu szkodliwości środków zastępczych oraz działań mających na celu ograniczenie wprowadzania do obrotu środków zastępczych oraz akcje z zakresu profilaktyki.</w:t>
      </w:r>
    </w:p>
    <w:p w:rsidR="0080119F" w:rsidRPr="00FB3653" w:rsidRDefault="001B1EC2" w:rsidP="008011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B3653">
        <w:rPr>
          <w:rFonts w:ascii="Tahoma" w:hAnsi="Tahoma" w:cs="Tahoma"/>
          <w:i/>
          <w:sz w:val="22"/>
          <w:szCs w:val="22"/>
        </w:rPr>
        <w:t xml:space="preserve">Celem wszelkiego rodzaju podejmowanych działań profilaktyczno-edukacyjnych było uświadamianie zagrożenia dla zdrowia, jakie stanowi używanie środków zastępczych oraz zminimalizowanie ryzykownych </w:t>
      </w:r>
      <w:proofErr w:type="spellStart"/>
      <w:r w:rsidRPr="00FB3653">
        <w:rPr>
          <w:rFonts w:ascii="Tahoma" w:hAnsi="Tahoma" w:cs="Tahoma"/>
          <w:i/>
          <w:sz w:val="22"/>
          <w:szCs w:val="22"/>
        </w:rPr>
        <w:t>zachowa</w:t>
      </w:r>
      <w:r w:rsidR="001D25C6" w:rsidRPr="00FB3653">
        <w:rPr>
          <w:rFonts w:ascii="Tahoma" w:hAnsi="Tahoma" w:cs="Tahoma"/>
          <w:i/>
          <w:sz w:val="22"/>
          <w:szCs w:val="22"/>
        </w:rPr>
        <w:t>ń</w:t>
      </w:r>
      <w:proofErr w:type="spellEnd"/>
      <w:r w:rsidR="001D25C6" w:rsidRPr="00FB3653">
        <w:rPr>
          <w:rFonts w:ascii="Tahoma" w:hAnsi="Tahoma" w:cs="Tahoma"/>
          <w:i/>
          <w:sz w:val="22"/>
          <w:szCs w:val="22"/>
        </w:rPr>
        <w:t xml:space="preserve"> prowadzących do ich używania. </w:t>
      </w:r>
    </w:p>
    <w:p w:rsidR="000F69B4" w:rsidRDefault="0080119F" w:rsidP="008011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1D25C6">
        <w:rPr>
          <w:rFonts w:ascii="Tahoma" w:hAnsi="Tahoma" w:cs="Tahoma"/>
          <w:sz w:val="22"/>
          <w:szCs w:val="22"/>
        </w:rPr>
        <w:t>Poprzez zwalczanie podaży środków zastępczych, ale i powszechną edukację, możemy uchronić konsumentów nowych narkotyków, ale i tych, którzy dzięki zdobytej wiedzy nie zdecy</w:t>
      </w:r>
      <w:bookmarkStart w:id="0" w:name="_GoBack"/>
      <w:bookmarkEnd w:id="0"/>
      <w:r w:rsidRPr="001D25C6">
        <w:rPr>
          <w:rFonts w:ascii="Tahoma" w:hAnsi="Tahoma" w:cs="Tahoma"/>
          <w:sz w:val="22"/>
          <w:szCs w:val="22"/>
        </w:rPr>
        <w:t xml:space="preserve">dują się zostać ich użytkownikami, przed śmiertelnymi skutkami, jakie niesie </w:t>
      </w:r>
      <w:r w:rsidR="00FB3653">
        <w:rPr>
          <w:rFonts w:ascii="Tahoma" w:hAnsi="Tahoma" w:cs="Tahoma"/>
          <w:sz w:val="22"/>
          <w:szCs w:val="22"/>
        </w:rPr>
        <w:t>za sobą zażywanie tej trucizny.</w:t>
      </w:r>
    </w:p>
    <w:p w:rsidR="0021148A" w:rsidRDefault="0021148A" w:rsidP="008011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21148A" w:rsidRPr="0021148A" w:rsidRDefault="0021148A" w:rsidP="0021148A">
      <w:pPr>
        <w:spacing w:after="0" w:line="240" w:lineRule="auto"/>
        <w:rPr>
          <w:rFonts w:ascii="Tahoma" w:hAnsi="Tahoma" w:cs="Tahoma"/>
          <w:b/>
          <w:u w:val="single"/>
        </w:rPr>
      </w:pPr>
      <w:r w:rsidRPr="0021148A">
        <w:rPr>
          <w:rFonts w:ascii="Tahoma" w:hAnsi="Tahoma" w:cs="Tahoma"/>
          <w:b/>
          <w:u w:val="single"/>
        </w:rPr>
        <w:t>Osoby/pracownicy WSSE w Krakowie do kontaktu:</w:t>
      </w:r>
    </w:p>
    <w:p w:rsidR="0021148A" w:rsidRDefault="0021148A" w:rsidP="0021148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Joanna Kosmala, tel. 12/2549550</w:t>
      </w:r>
    </w:p>
    <w:p w:rsidR="0021148A" w:rsidRDefault="0021148A" w:rsidP="0021148A">
      <w:pPr>
        <w:spacing w:after="0" w:line="240" w:lineRule="auto"/>
        <w:rPr>
          <w:rFonts w:ascii="Calibri" w:hAnsi="Calibri" w:cs="Times New Roman"/>
        </w:rPr>
      </w:pPr>
      <w:r>
        <w:rPr>
          <w:rFonts w:ascii="Tahoma" w:hAnsi="Tahoma" w:cs="Tahoma"/>
        </w:rPr>
        <w:t>Grażyna Przeźmińska, tel. 12/2549585</w:t>
      </w:r>
    </w:p>
    <w:p w:rsidR="0021148A" w:rsidRPr="0080119F" w:rsidRDefault="0021148A" w:rsidP="008011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</w:p>
    <w:sectPr w:rsidR="0021148A" w:rsidRPr="0080119F" w:rsidSect="0080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B4" w:rsidRDefault="00824BB4" w:rsidP="0022354E">
      <w:pPr>
        <w:spacing w:after="0" w:line="240" w:lineRule="auto"/>
      </w:pPr>
      <w:r>
        <w:separator/>
      </w:r>
    </w:p>
  </w:endnote>
  <w:endnote w:type="continuationSeparator" w:id="0">
    <w:p w:rsidR="00824BB4" w:rsidRDefault="00824BB4" w:rsidP="0022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Source Sans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B4" w:rsidRDefault="00824BB4" w:rsidP="0022354E">
      <w:pPr>
        <w:spacing w:after="0" w:line="240" w:lineRule="auto"/>
      </w:pPr>
      <w:r>
        <w:separator/>
      </w:r>
    </w:p>
  </w:footnote>
  <w:footnote w:type="continuationSeparator" w:id="0">
    <w:p w:rsidR="00824BB4" w:rsidRDefault="00824BB4" w:rsidP="0022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06AF73"/>
    <w:multiLevelType w:val="hybridMultilevel"/>
    <w:tmpl w:val="FED8B0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368304"/>
    <w:multiLevelType w:val="hybridMultilevel"/>
    <w:tmpl w:val="6D1816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FF36A4"/>
    <w:multiLevelType w:val="hybridMultilevel"/>
    <w:tmpl w:val="F314D90C"/>
    <w:lvl w:ilvl="0" w:tplc="41B2A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E8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24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0A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03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E2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CE0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80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E0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9404A"/>
    <w:multiLevelType w:val="hybridMultilevel"/>
    <w:tmpl w:val="210AC9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5F4E"/>
    <w:multiLevelType w:val="hybridMultilevel"/>
    <w:tmpl w:val="B734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D1710"/>
    <w:multiLevelType w:val="multilevel"/>
    <w:tmpl w:val="EA86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67BCC"/>
    <w:multiLevelType w:val="hybridMultilevel"/>
    <w:tmpl w:val="69E0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605E8"/>
    <w:multiLevelType w:val="hybridMultilevel"/>
    <w:tmpl w:val="92043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41B01"/>
    <w:multiLevelType w:val="hybridMultilevel"/>
    <w:tmpl w:val="5EC8B904"/>
    <w:lvl w:ilvl="0" w:tplc="6B52A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45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A8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EE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CE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A67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CC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05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9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2533E"/>
    <w:multiLevelType w:val="hybridMultilevel"/>
    <w:tmpl w:val="D2629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4119"/>
    <w:multiLevelType w:val="hybridMultilevel"/>
    <w:tmpl w:val="4FDC03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31505A"/>
    <w:multiLevelType w:val="hybridMultilevel"/>
    <w:tmpl w:val="A84612B6"/>
    <w:lvl w:ilvl="0" w:tplc="3B38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C042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CC62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A2D9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D0B7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4ECE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87248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2E89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407F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03D2E"/>
    <w:multiLevelType w:val="hybridMultilevel"/>
    <w:tmpl w:val="A0D44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E29C9"/>
    <w:multiLevelType w:val="hybridMultilevel"/>
    <w:tmpl w:val="76CE1A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B66"/>
    <w:multiLevelType w:val="hybridMultilevel"/>
    <w:tmpl w:val="FE383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17A9B"/>
    <w:multiLevelType w:val="hybridMultilevel"/>
    <w:tmpl w:val="A8ECF562"/>
    <w:lvl w:ilvl="0" w:tplc="63DC6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8A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83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C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2F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E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A7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8B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2A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2E190A"/>
    <w:multiLevelType w:val="hybridMultilevel"/>
    <w:tmpl w:val="F258AAEC"/>
    <w:lvl w:ilvl="0" w:tplc="A6C44870">
      <w:start w:val="1"/>
      <w:numFmt w:val="bullet"/>
      <w:pStyle w:val="Nagwe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B25ED"/>
    <w:multiLevelType w:val="hybridMultilevel"/>
    <w:tmpl w:val="6362F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95CC0"/>
    <w:multiLevelType w:val="multilevel"/>
    <w:tmpl w:val="F61ADA8A"/>
    <w:lvl w:ilvl="0">
      <w:start w:val="1"/>
      <w:numFmt w:val="decimal"/>
      <w:lvlText w:val="%1."/>
      <w:lvlJc w:val="right"/>
      <w:pPr>
        <w:tabs>
          <w:tab w:val="num" w:pos="360"/>
        </w:tabs>
        <w:ind w:left="-227" w:firstLine="22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080"/>
        </w:tabs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9">
    <w:nsid w:val="7C26092F"/>
    <w:multiLevelType w:val="hybridMultilevel"/>
    <w:tmpl w:val="61848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0"/>
  </w:num>
  <w:num w:numId="5">
    <w:abstractNumId w:val="15"/>
  </w:num>
  <w:num w:numId="6">
    <w:abstractNumId w:val="17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8"/>
  </w:num>
  <w:num w:numId="15">
    <w:abstractNumId w:val="11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AA"/>
    <w:rsid w:val="000013AF"/>
    <w:rsid w:val="000055BE"/>
    <w:rsid w:val="00006146"/>
    <w:rsid w:val="00006773"/>
    <w:rsid w:val="00013192"/>
    <w:rsid w:val="00020506"/>
    <w:rsid w:val="000338C1"/>
    <w:rsid w:val="00043DE6"/>
    <w:rsid w:val="00063777"/>
    <w:rsid w:val="00083474"/>
    <w:rsid w:val="000A15A6"/>
    <w:rsid w:val="000B2D8C"/>
    <w:rsid w:val="000D5C82"/>
    <w:rsid w:val="000F1665"/>
    <w:rsid w:val="000F1AEE"/>
    <w:rsid w:val="000F5C36"/>
    <w:rsid w:val="000F69B4"/>
    <w:rsid w:val="0010199B"/>
    <w:rsid w:val="001020AB"/>
    <w:rsid w:val="00121358"/>
    <w:rsid w:val="00133907"/>
    <w:rsid w:val="001375D0"/>
    <w:rsid w:val="00144A6C"/>
    <w:rsid w:val="00176DD8"/>
    <w:rsid w:val="001863FB"/>
    <w:rsid w:val="001B1EC2"/>
    <w:rsid w:val="001D25C6"/>
    <w:rsid w:val="001F2B28"/>
    <w:rsid w:val="001F551B"/>
    <w:rsid w:val="00204094"/>
    <w:rsid w:val="0021148A"/>
    <w:rsid w:val="0022354E"/>
    <w:rsid w:val="002246BE"/>
    <w:rsid w:val="00260CD9"/>
    <w:rsid w:val="002746B2"/>
    <w:rsid w:val="00275198"/>
    <w:rsid w:val="002772AB"/>
    <w:rsid w:val="00280895"/>
    <w:rsid w:val="00294BDA"/>
    <w:rsid w:val="002B3497"/>
    <w:rsid w:val="002C028E"/>
    <w:rsid w:val="002C2E5B"/>
    <w:rsid w:val="002D64B5"/>
    <w:rsid w:val="003115AD"/>
    <w:rsid w:val="00320506"/>
    <w:rsid w:val="003259FD"/>
    <w:rsid w:val="00332C22"/>
    <w:rsid w:val="00334CE8"/>
    <w:rsid w:val="003372E9"/>
    <w:rsid w:val="00342A32"/>
    <w:rsid w:val="00342B30"/>
    <w:rsid w:val="00352A31"/>
    <w:rsid w:val="00376200"/>
    <w:rsid w:val="003877AC"/>
    <w:rsid w:val="003A103C"/>
    <w:rsid w:val="003A2B21"/>
    <w:rsid w:val="003A4EBB"/>
    <w:rsid w:val="003D021C"/>
    <w:rsid w:val="003E0580"/>
    <w:rsid w:val="00400972"/>
    <w:rsid w:val="00403535"/>
    <w:rsid w:val="00404A58"/>
    <w:rsid w:val="00406440"/>
    <w:rsid w:val="00407D14"/>
    <w:rsid w:val="00410B18"/>
    <w:rsid w:val="004268EF"/>
    <w:rsid w:val="0043035A"/>
    <w:rsid w:val="0043046B"/>
    <w:rsid w:val="00445A58"/>
    <w:rsid w:val="00453A68"/>
    <w:rsid w:val="00461E4E"/>
    <w:rsid w:val="00481E62"/>
    <w:rsid w:val="004937AE"/>
    <w:rsid w:val="00497FAA"/>
    <w:rsid w:val="004A4721"/>
    <w:rsid w:val="004D6F07"/>
    <w:rsid w:val="004E0708"/>
    <w:rsid w:val="004F44E6"/>
    <w:rsid w:val="00521066"/>
    <w:rsid w:val="00551156"/>
    <w:rsid w:val="0056272B"/>
    <w:rsid w:val="005633F9"/>
    <w:rsid w:val="00573F99"/>
    <w:rsid w:val="005940E4"/>
    <w:rsid w:val="005B3333"/>
    <w:rsid w:val="005C46ED"/>
    <w:rsid w:val="005C5143"/>
    <w:rsid w:val="005D3AAC"/>
    <w:rsid w:val="005D3DAF"/>
    <w:rsid w:val="005D7E7E"/>
    <w:rsid w:val="005F0EAB"/>
    <w:rsid w:val="005F1874"/>
    <w:rsid w:val="005F2A35"/>
    <w:rsid w:val="0061748A"/>
    <w:rsid w:val="006265BF"/>
    <w:rsid w:val="006432C4"/>
    <w:rsid w:val="00651CA1"/>
    <w:rsid w:val="0065238F"/>
    <w:rsid w:val="0067544A"/>
    <w:rsid w:val="00691C7E"/>
    <w:rsid w:val="006A4D2B"/>
    <w:rsid w:val="006B12BB"/>
    <w:rsid w:val="006B1D3D"/>
    <w:rsid w:val="006B51E6"/>
    <w:rsid w:val="006B5C81"/>
    <w:rsid w:val="006C73CC"/>
    <w:rsid w:val="00735BC0"/>
    <w:rsid w:val="00757B26"/>
    <w:rsid w:val="007649D2"/>
    <w:rsid w:val="007720DA"/>
    <w:rsid w:val="00773AA7"/>
    <w:rsid w:val="007741CE"/>
    <w:rsid w:val="007A3575"/>
    <w:rsid w:val="007A75E3"/>
    <w:rsid w:val="007E3841"/>
    <w:rsid w:val="007F6974"/>
    <w:rsid w:val="0080119F"/>
    <w:rsid w:val="008136E0"/>
    <w:rsid w:val="008207B4"/>
    <w:rsid w:val="00824BB4"/>
    <w:rsid w:val="00886FE9"/>
    <w:rsid w:val="008959F8"/>
    <w:rsid w:val="00897E59"/>
    <w:rsid w:val="008B6A4E"/>
    <w:rsid w:val="008B7B59"/>
    <w:rsid w:val="008C110B"/>
    <w:rsid w:val="008E67D6"/>
    <w:rsid w:val="008F3CE7"/>
    <w:rsid w:val="008F50F4"/>
    <w:rsid w:val="00903F00"/>
    <w:rsid w:val="00905FF6"/>
    <w:rsid w:val="009249EB"/>
    <w:rsid w:val="009670E4"/>
    <w:rsid w:val="00986B88"/>
    <w:rsid w:val="009936F9"/>
    <w:rsid w:val="00996B5C"/>
    <w:rsid w:val="009A0609"/>
    <w:rsid w:val="009A580B"/>
    <w:rsid w:val="009A5DCE"/>
    <w:rsid w:val="009B379B"/>
    <w:rsid w:val="009C2743"/>
    <w:rsid w:val="009E24FD"/>
    <w:rsid w:val="00A0753B"/>
    <w:rsid w:val="00A13179"/>
    <w:rsid w:val="00A16A51"/>
    <w:rsid w:val="00A37422"/>
    <w:rsid w:val="00A46611"/>
    <w:rsid w:val="00A57B64"/>
    <w:rsid w:val="00A63BC0"/>
    <w:rsid w:val="00A646B5"/>
    <w:rsid w:val="00A8277D"/>
    <w:rsid w:val="00AA0946"/>
    <w:rsid w:val="00AA226E"/>
    <w:rsid w:val="00AA52AB"/>
    <w:rsid w:val="00AC0D10"/>
    <w:rsid w:val="00AC35D5"/>
    <w:rsid w:val="00AF39A2"/>
    <w:rsid w:val="00AF5E28"/>
    <w:rsid w:val="00B34BD1"/>
    <w:rsid w:val="00B45FEF"/>
    <w:rsid w:val="00B570E5"/>
    <w:rsid w:val="00B727D0"/>
    <w:rsid w:val="00B8264E"/>
    <w:rsid w:val="00B8551C"/>
    <w:rsid w:val="00B9673B"/>
    <w:rsid w:val="00BA189B"/>
    <w:rsid w:val="00BA6B33"/>
    <w:rsid w:val="00BB12FE"/>
    <w:rsid w:val="00BC3542"/>
    <w:rsid w:val="00BC3756"/>
    <w:rsid w:val="00BC37E8"/>
    <w:rsid w:val="00BF196F"/>
    <w:rsid w:val="00BF7962"/>
    <w:rsid w:val="00C1247A"/>
    <w:rsid w:val="00C23DD7"/>
    <w:rsid w:val="00C33EEC"/>
    <w:rsid w:val="00C62158"/>
    <w:rsid w:val="00C661BD"/>
    <w:rsid w:val="00C863DD"/>
    <w:rsid w:val="00CA6F24"/>
    <w:rsid w:val="00CE1DAF"/>
    <w:rsid w:val="00D56DAB"/>
    <w:rsid w:val="00D6602E"/>
    <w:rsid w:val="00D74C38"/>
    <w:rsid w:val="00D827C3"/>
    <w:rsid w:val="00DA5435"/>
    <w:rsid w:val="00DC4D99"/>
    <w:rsid w:val="00DE3E7B"/>
    <w:rsid w:val="00DE7487"/>
    <w:rsid w:val="00DF0522"/>
    <w:rsid w:val="00E134F9"/>
    <w:rsid w:val="00E1518C"/>
    <w:rsid w:val="00E15C9B"/>
    <w:rsid w:val="00E17019"/>
    <w:rsid w:val="00E573A1"/>
    <w:rsid w:val="00E60D20"/>
    <w:rsid w:val="00E674AA"/>
    <w:rsid w:val="00E9050A"/>
    <w:rsid w:val="00E93A50"/>
    <w:rsid w:val="00EA3941"/>
    <w:rsid w:val="00EA5F91"/>
    <w:rsid w:val="00EC4550"/>
    <w:rsid w:val="00EC4706"/>
    <w:rsid w:val="00ED1ADB"/>
    <w:rsid w:val="00ED6566"/>
    <w:rsid w:val="00F16BB5"/>
    <w:rsid w:val="00F17C17"/>
    <w:rsid w:val="00F269C4"/>
    <w:rsid w:val="00F34813"/>
    <w:rsid w:val="00F63D2C"/>
    <w:rsid w:val="00F656C0"/>
    <w:rsid w:val="00F80FDE"/>
    <w:rsid w:val="00FA0329"/>
    <w:rsid w:val="00FB3653"/>
    <w:rsid w:val="00FC0507"/>
    <w:rsid w:val="00FC061A"/>
    <w:rsid w:val="00FD2AA7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AA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styleId="Nagwek1">
    <w:name w:val="heading 1"/>
    <w:basedOn w:val="Normalny"/>
    <w:next w:val="Tekstpodstawowy"/>
    <w:link w:val="Nagwek1Znak"/>
    <w:autoRedefine/>
    <w:uiPriority w:val="9"/>
    <w:qFormat/>
    <w:rsid w:val="0080119F"/>
    <w:pPr>
      <w:keepNext/>
      <w:keepLines/>
      <w:pageBreakBefore/>
      <w:spacing w:after="0"/>
      <w:jc w:val="center"/>
      <w:outlineLvl w:val="0"/>
    </w:pPr>
    <w:rPr>
      <w:rFonts w:ascii="Tahoma" w:hAnsi="Tahoma" w:cs="Tahoma"/>
      <w:b/>
      <w:bCs/>
      <w:smallCaps/>
      <w:sz w:val="26"/>
      <w:szCs w:val="22"/>
    </w:rPr>
  </w:style>
  <w:style w:type="paragraph" w:styleId="Nagwek2">
    <w:name w:val="heading 2"/>
    <w:basedOn w:val="Normalny"/>
    <w:next w:val="Tekstpodstawowy"/>
    <w:link w:val="Nagwek2Znak"/>
    <w:autoRedefine/>
    <w:uiPriority w:val="9"/>
    <w:qFormat/>
    <w:rsid w:val="00453A68"/>
    <w:pPr>
      <w:keepNext/>
      <w:keepLines/>
      <w:spacing w:before="120" w:after="120" w:line="360" w:lineRule="auto"/>
      <w:jc w:val="both"/>
      <w:outlineLvl w:val="1"/>
    </w:pPr>
    <w:rPr>
      <w:rFonts w:ascii="Tahoma" w:hAnsi="Tahoma" w:cs="Tahoma"/>
      <w:bCs/>
      <w:sz w:val="22"/>
      <w:szCs w:val="22"/>
    </w:rPr>
  </w:style>
  <w:style w:type="paragraph" w:styleId="Nagwek3">
    <w:name w:val="heading 3"/>
    <w:aliases w:val="Akapit mniejszy,Nagłówek 3 Raport"/>
    <w:basedOn w:val="Normalny"/>
    <w:next w:val="Tekstpodstawowy"/>
    <w:link w:val="Nagwek3Znak"/>
    <w:autoRedefine/>
    <w:uiPriority w:val="9"/>
    <w:qFormat/>
    <w:rsid w:val="00BF196F"/>
    <w:pPr>
      <w:keepNext/>
      <w:numPr>
        <w:numId w:val="18"/>
      </w:numPr>
      <w:spacing w:before="120" w:after="120" w:line="360" w:lineRule="auto"/>
      <w:jc w:val="both"/>
      <w:outlineLvl w:val="2"/>
    </w:pPr>
    <w:rPr>
      <w:rFonts w:ascii="Tahoma" w:hAnsi="Tahoma" w:cs="Tahoma"/>
      <w:bCs/>
      <w:sz w:val="22"/>
      <w:szCs w:val="22"/>
    </w:rPr>
  </w:style>
  <w:style w:type="paragraph" w:styleId="Nagwek4">
    <w:name w:val="heading 4"/>
    <w:basedOn w:val="Tekstdymka"/>
    <w:next w:val="Tekstpodstawowy"/>
    <w:link w:val="Nagwek4Znak"/>
    <w:uiPriority w:val="9"/>
    <w:qFormat/>
    <w:rsid w:val="00E674AA"/>
    <w:pPr>
      <w:keepNext/>
      <w:keepLines/>
      <w:numPr>
        <w:ilvl w:val="3"/>
        <w:numId w:val="1"/>
      </w:numPr>
      <w:spacing w:before="360" w:after="120" w:line="360" w:lineRule="auto"/>
      <w:jc w:val="both"/>
      <w:outlineLvl w:val="3"/>
    </w:pPr>
    <w:rPr>
      <w:rFonts w:ascii="Tahoma" w:eastAsia="Times New Roman" w:hAnsi="Tahoma" w:cs="Tahoma"/>
      <w:b/>
      <w:bCs/>
      <w:sz w:val="22"/>
      <w:szCs w:val="16"/>
      <w:u w:val="single" w:color="806000" w:themeColor="accent4" w:themeShade="80"/>
      <w:lang w:val="en-US"/>
    </w:rPr>
  </w:style>
  <w:style w:type="paragraph" w:styleId="Nagwek5">
    <w:name w:val="heading 5"/>
    <w:basedOn w:val="Normalny"/>
    <w:next w:val="Tekstpodstawowy"/>
    <w:link w:val="Nagwek5Znak"/>
    <w:uiPriority w:val="9"/>
    <w:qFormat/>
    <w:rsid w:val="00E674AA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eastAsia="Times New Roman"/>
      <w:b/>
      <w:bCs/>
      <w:i/>
      <w:iCs/>
    </w:rPr>
  </w:style>
  <w:style w:type="paragraph" w:styleId="Nagwek6">
    <w:name w:val="heading 6"/>
    <w:basedOn w:val="Normalny"/>
    <w:next w:val="Tekstpodstawowy"/>
    <w:link w:val="Nagwek6Znak"/>
    <w:uiPriority w:val="9"/>
    <w:qFormat/>
    <w:rsid w:val="00E674AA"/>
    <w:pPr>
      <w:keepNext/>
      <w:keepLines/>
      <w:numPr>
        <w:ilvl w:val="5"/>
        <w:numId w:val="1"/>
      </w:numPr>
      <w:spacing w:before="240" w:after="120" w:line="360" w:lineRule="auto"/>
      <w:jc w:val="both"/>
      <w:outlineLvl w:val="5"/>
    </w:pPr>
    <w:rPr>
      <w:rFonts w:eastAsia="Times New Roman"/>
      <w:b/>
      <w:bCs/>
      <w:lang w:val="en-US"/>
    </w:rPr>
  </w:style>
  <w:style w:type="paragraph" w:styleId="Nagwek7">
    <w:name w:val="heading 7"/>
    <w:basedOn w:val="Normalny"/>
    <w:next w:val="Tekstpodstawowy"/>
    <w:link w:val="Nagwek7Znak"/>
    <w:uiPriority w:val="9"/>
    <w:qFormat/>
    <w:rsid w:val="00E674AA"/>
    <w:pPr>
      <w:keepNext/>
      <w:keepLines/>
      <w:numPr>
        <w:ilvl w:val="6"/>
        <w:numId w:val="1"/>
      </w:numPr>
      <w:spacing w:before="240" w:after="120" w:line="360" w:lineRule="auto"/>
      <w:jc w:val="both"/>
      <w:outlineLvl w:val="6"/>
    </w:pPr>
    <w:rPr>
      <w:rFonts w:eastAsia="Times New Roman"/>
      <w:i/>
      <w:iCs/>
      <w:lang w:val="en-US"/>
    </w:rPr>
  </w:style>
  <w:style w:type="paragraph" w:styleId="Nagwek8">
    <w:name w:val="heading 8"/>
    <w:basedOn w:val="Normalny"/>
    <w:next w:val="Tekstpodstawowy"/>
    <w:link w:val="Nagwek8Znak"/>
    <w:uiPriority w:val="9"/>
    <w:qFormat/>
    <w:rsid w:val="00E674AA"/>
    <w:pPr>
      <w:keepNext/>
      <w:keepLines/>
      <w:numPr>
        <w:ilvl w:val="7"/>
        <w:numId w:val="1"/>
      </w:numPr>
      <w:spacing w:before="240" w:after="120" w:line="360" w:lineRule="auto"/>
      <w:jc w:val="both"/>
      <w:outlineLvl w:val="7"/>
    </w:pPr>
    <w:rPr>
      <w:rFonts w:eastAsia="Times New Roman"/>
      <w:lang w:val="en-US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E674AA"/>
    <w:pPr>
      <w:keepNext/>
      <w:keepLines/>
      <w:numPr>
        <w:ilvl w:val="8"/>
        <w:numId w:val="1"/>
      </w:numPr>
      <w:spacing w:before="240" w:after="120" w:line="360" w:lineRule="auto"/>
      <w:jc w:val="both"/>
      <w:outlineLvl w:val="8"/>
    </w:pPr>
    <w:rPr>
      <w:rFonts w:eastAsia="Times New Roman"/>
      <w:i/>
      <w:iCs/>
      <w:spacing w:val="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19F"/>
    <w:rPr>
      <w:rFonts w:ascii="Tahoma" w:eastAsia="Calibri" w:hAnsi="Tahoma" w:cs="Tahoma"/>
      <w:b/>
      <w:bCs/>
      <w:smallCaps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453A68"/>
    <w:rPr>
      <w:rFonts w:ascii="Tahoma" w:eastAsia="Calibri" w:hAnsi="Tahoma" w:cs="Tahoma"/>
      <w:bCs/>
    </w:rPr>
  </w:style>
  <w:style w:type="character" w:customStyle="1" w:styleId="Nagwek3Znak">
    <w:name w:val="Nagłówek 3 Znak"/>
    <w:aliases w:val="Akapit mniejszy Znak,Nagłówek 3 Raport Znak"/>
    <w:basedOn w:val="Domylnaczcionkaakapitu"/>
    <w:link w:val="Nagwek3"/>
    <w:uiPriority w:val="9"/>
    <w:rsid w:val="00BF196F"/>
    <w:rPr>
      <w:rFonts w:ascii="Tahoma" w:eastAsia="Calibri" w:hAnsi="Tahoma" w:cs="Tahoma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74AA"/>
    <w:rPr>
      <w:rFonts w:ascii="Tahoma" w:eastAsia="Times New Roman" w:hAnsi="Tahoma" w:cs="Tahoma"/>
      <w:b/>
      <w:bCs/>
      <w:szCs w:val="16"/>
      <w:u w:val="single" w:color="806000" w:themeColor="accent4" w:themeShade="8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E674AA"/>
    <w:rPr>
      <w:rFonts w:ascii="Arial" w:eastAsia="Times New Roman" w:hAnsi="Arial" w:cs="Arial"/>
      <w:b/>
      <w:bCs/>
      <w:i/>
      <w:i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E674AA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E674AA"/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674AA"/>
    <w:rPr>
      <w:rFonts w:ascii="Arial" w:eastAsia="Times New Roman" w:hAnsi="Arial" w:cs="Arial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rsid w:val="00E674AA"/>
    <w:rPr>
      <w:rFonts w:ascii="Arial" w:eastAsia="Times New Roman" w:hAnsi="Arial" w:cs="Arial"/>
      <w:i/>
      <w:iCs/>
      <w:spacing w:val="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E674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7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74AA"/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AA"/>
    <w:rPr>
      <w:rFonts w:ascii="Segoe UI" w:eastAsia="Calibr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E674A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1AD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54E"/>
    <w:rPr>
      <w:rFonts w:ascii="Arial" w:eastAsia="Calibri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54E"/>
    <w:rPr>
      <w:rFonts w:ascii="Arial" w:eastAsia="Calibri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EB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EBB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EBB"/>
    <w:rPr>
      <w:rFonts w:ascii="Arial" w:eastAsia="Calibri" w:hAnsi="Arial" w:cs="Arial"/>
      <w:b/>
      <w:bCs/>
      <w:sz w:val="20"/>
      <w:szCs w:val="20"/>
    </w:rPr>
  </w:style>
  <w:style w:type="paragraph" w:customStyle="1" w:styleId="Default">
    <w:name w:val="Default"/>
    <w:rsid w:val="004D6F07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C33EEC"/>
    <w:pPr>
      <w:spacing w:line="201" w:lineRule="atLeast"/>
    </w:pPr>
    <w:rPr>
      <w:rFonts w:ascii="Source Sans Pro" w:hAnsi="Source Sans Pro"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5F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91C7E"/>
    <w:rPr>
      <w:i/>
      <w:iCs/>
    </w:rPr>
  </w:style>
  <w:style w:type="character" w:styleId="Pogrubienie">
    <w:name w:val="Strong"/>
    <w:uiPriority w:val="22"/>
    <w:qFormat/>
    <w:rsid w:val="003A103C"/>
    <w:rPr>
      <w:b/>
      <w:bCs/>
    </w:rPr>
  </w:style>
  <w:style w:type="paragraph" w:customStyle="1" w:styleId="Zawartotabeli">
    <w:name w:val="Zawartość tabeli"/>
    <w:basedOn w:val="Normalny"/>
    <w:rsid w:val="005B333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">
    <w:name w:val="Tekst"/>
    <w:basedOn w:val="Normalny"/>
    <w:rsid w:val="005B333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AA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styleId="Nagwek1">
    <w:name w:val="heading 1"/>
    <w:basedOn w:val="Normalny"/>
    <w:next w:val="Tekstpodstawowy"/>
    <w:link w:val="Nagwek1Znak"/>
    <w:autoRedefine/>
    <w:uiPriority w:val="9"/>
    <w:qFormat/>
    <w:rsid w:val="0080119F"/>
    <w:pPr>
      <w:keepNext/>
      <w:keepLines/>
      <w:pageBreakBefore/>
      <w:spacing w:after="0"/>
      <w:jc w:val="center"/>
      <w:outlineLvl w:val="0"/>
    </w:pPr>
    <w:rPr>
      <w:rFonts w:ascii="Tahoma" w:hAnsi="Tahoma" w:cs="Tahoma"/>
      <w:b/>
      <w:bCs/>
      <w:smallCaps/>
      <w:sz w:val="26"/>
      <w:szCs w:val="22"/>
    </w:rPr>
  </w:style>
  <w:style w:type="paragraph" w:styleId="Nagwek2">
    <w:name w:val="heading 2"/>
    <w:basedOn w:val="Normalny"/>
    <w:next w:val="Tekstpodstawowy"/>
    <w:link w:val="Nagwek2Znak"/>
    <w:autoRedefine/>
    <w:uiPriority w:val="9"/>
    <w:qFormat/>
    <w:rsid w:val="00453A68"/>
    <w:pPr>
      <w:keepNext/>
      <w:keepLines/>
      <w:spacing w:before="120" w:after="120" w:line="360" w:lineRule="auto"/>
      <w:jc w:val="both"/>
      <w:outlineLvl w:val="1"/>
    </w:pPr>
    <w:rPr>
      <w:rFonts w:ascii="Tahoma" w:hAnsi="Tahoma" w:cs="Tahoma"/>
      <w:bCs/>
      <w:sz w:val="22"/>
      <w:szCs w:val="22"/>
    </w:rPr>
  </w:style>
  <w:style w:type="paragraph" w:styleId="Nagwek3">
    <w:name w:val="heading 3"/>
    <w:aliases w:val="Akapit mniejszy,Nagłówek 3 Raport"/>
    <w:basedOn w:val="Normalny"/>
    <w:next w:val="Tekstpodstawowy"/>
    <w:link w:val="Nagwek3Znak"/>
    <w:autoRedefine/>
    <w:uiPriority w:val="9"/>
    <w:qFormat/>
    <w:rsid w:val="00BF196F"/>
    <w:pPr>
      <w:keepNext/>
      <w:numPr>
        <w:numId w:val="18"/>
      </w:numPr>
      <w:spacing w:before="120" w:after="120" w:line="360" w:lineRule="auto"/>
      <w:jc w:val="both"/>
      <w:outlineLvl w:val="2"/>
    </w:pPr>
    <w:rPr>
      <w:rFonts w:ascii="Tahoma" w:hAnsi="Tahoma" w:cs="Tahoma"/>
      <w:bCs/>
      <w:sz w:val="22"/>
      <w:szCs w:val="22"/>
    </w:rPr>
  </w:style>
  <w:style w:type="paragraph" w:styleId="Nagwek4">
    <w:name w:val="heading 4"/>
    <w:basedOn w:val="Tekstdymka"/>
    <w:next w:val="Tekstpodstawowy"/>
    <w:link w:val="Nagwek4Znak"/>
    <w:uiPriority w:val="9"/>
    <w:qFormat/>
    <w:rsid w:val="00E674AA"/>
    <w:pPr>
      <w:keepNext/>
      <w:keepLines/>
      <w:numPr>
        <w:ilvl w:val="3"/>
        <w:numId w:val="1"/>
      </w:numPr>
      <w:spacing w:before="360" w:after="120" w:line="360" w:lineRule="auto"/>
      <w:jc w:val="both"/>
      <w:outlineLvl w:val="3"/>
    </w:pPr>
    <w:rPr>
      <w:rFonts w:ascii="Tahoma" w:eastAsia="Times New Roman" w:hAnsi="Tahoma" w:cs="Tahoma"/>
      <w:b/>
      <w:bCs/>
      <w:sz w:val="22"/>
      <w:szCs w:val="16"/>
      <w:u w:val="single" w:color="806000" w:themeColor="accent4" w:themeShade="80"/>
      <w:lang w:val="en-US"/>
    </w:rPr>
  </w:style>
  <w:style w:type="paragraph" w:styleId="Nagwek5">
    <w:name w:val="heading 5"/>
    <w:basedOn w:val="Normalny"/>
    <w:next w:val="Tekstpodstawowy"/>
    <w:link w:val="Nagwek5Znak"/>
    <w:uiPriority w:val="9"/>
    <w:qFormat/>
    <w:rsid w:val="00E674AA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eastAsia="Times New Roman"/>
      <w:b/>
      <w:bCs/>
      <w:i/>
      <w:iCs/>
    </w:rPr>
  </w:style>
  <w:style w:type="paragraph" w:styleId="Nagwek6">
    <w:name w:val="heading 6"/>
    <w:basedOn w:val="Normalny"/>
    <w:next w:val="Tekstpodstawowy"/>
    <w:link w:val="Nagwek6Znak"/>
    <w:uiPriority w:val="9"/>
    <w:qFormat/>
    <w:rsid w:val="00E674AA"/>
    <w:pPr>
      <w:keepNext/>
      <w:keepLines/>
      <w:numPr>
        <w:ilvl w:val="5"/>
        <w:numId w:val="1"/>
      </w:numPr>
      <w:spacing w:before="240" w:after="120" w:line="360" w:lineRule="auto"/>
      <w:jc w:val="both"/>
      <w:outlineLvl w:val="5"/>
    </w:pPr>
    <w:rPr>
      <w:rFonts w:eastAsia="Times New Roman"/>
      <w:b/>
      <w:bCs/>
      <w:lang w:val="en-US"/>
    </w:rPr>
  </w:style>
  <w:style w:type="paragraph" w:styleId="Nagwek7">
    <w:name w:val="heading 7"/>
    <w:basedOn w:val="Normalny"/>
    <w:next w:val="Tekstpodstawowy"/>
    <w:link w:val="Nagwek7Znak"/>
    <w:uiPriority w:val="9"/>
    <w:qFormat/>
    <w:rsid w:val="00E674AA"/>
    <w:pPr>
      <w:keepNext/>
      <w:keepLines/>
      <w:numPr>
        <w:ilvl w:val="6"/>
        <w:numId w:val="1"/>
      </w:numPr>
      <w:spacing w:before="240" w:after="120" w:line="360" w:lineRule="auto"/>
      <w:jc w:val="both"/>
      <w:outlineLvl w:val="6"/>
    </w:pPr>
    <w:rPr>
      <w:rFonts w:eastAsia="Times New Roman"/>
      <w:i/>
      <w:iCs/>
      <w:lang w:val="en-US"/>
    </w:rPr>
  </w:style>
  <w:style w:type="paragraph" w:styleId="Nagwek8">
    <w:name w:val="heading 8"/>
    <w:basedOn w:val="Normalny"/>
    <w:next w:val="Tekstpodstawowy"/>
    <w:link w:val="Nagwek8Znak"/>
    <w:uiPriority w:val="9"/>
    <w:qFormat/>
    <w:rsid w:val="00E674AA"/>
    <w:pPr>
      <w:keepNext/>
      <w:keepLines/>
      <w:numPr>
        <w:ilvl w:val="7"/>
        <w:numId w:val="1"/>
      </w:numPr>
      <w:spacing w:before="240" w:after="120" w:line="360" w:lineRule="auto"/>
      <w:jc w:val="both"/>
      <w:outlineLvl w:val="7"/>
    </w:pPr>
    <w:rPr>
      <w:rFonts w:eastAsia="Times New Roman"/>
      <w:lang w:val="en-US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E674AA"/>
    <w:pPr>
      <w:keepNext/>
      <w:keepLines/>
      <w:numPr>
        <w:ilvl w:val="8"/>
        <w:numId w:val="1"/>
      </w:numPr>
      <w:spacing w:before="240" w:after="120" w:line="360" w:lineRule="auto"/>
      <w:jc w:val="both"/>
      <w:outlineLvl w:val="8"/>
    </w:pPr>
    <w:rPr>
      <w:rFonts w:eastAsia="Times New Roman"/>
      <w:i/>
      <w:iCs/>
      <w:spacing w:val="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19F"/>
    <w:rPr>
      <w:rFonts w:ascii="Tahoma" w:eastAsia="Calibri" w:hAnsi="Tahoma" w:cs="Tahoma"/>
      <w:b/>
      <w:bCs/>
      <w:smallCaps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453A68"/>
    <w:rPr>
      <w:rFonts w:ascii="Tahoma" w:eastAsia="Calibri" w:hAnsi="Tahoma" w:cs="Tahoma"/>
      <w:bCs/>
    </w:rPr>
  </w:style>
  <w:style w:type="character" w:customStyle="1" w:styleId="Nagwek3Znak">
    <w:name w:val="Nagłówek 3 Znak"/>
    <w:aliases w:val="Akapit mniejszy Znak,Nagłówek 3 Raport Znak"/>
    <w:basedOn w:val="Domylnaczcionkaakapitu"/>
    <w:link w:val="Nagwek3"/>
    <w:uiPriority w:val="9"/>
    <w:rsid w:val="00BF196F"/>
    <w:rPr>
      <w:rFonts w:ascii="Tahoma" w:eastAsia="Calibri" w:hAnsi="Tahoma" w:cs="Tahoma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74AA"/>
    <w:rPr>
      <w:rFonts w:ascii="Tahoma" w:eastAsia="Times New Roman" w:hAnsi="Tahoma" w:cs="Tahoma"/>
      <w:b/>
      <w:bCs/>
      <w:szCs w:val="16"/>
      <w:u w:val="single" w:color="806000" w:themeColor="accent4" w:themeShade="8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E674AA"/>
    <w:rPr>
      <w:rFonts w:ascii="Arial" w:eastAsia="Times New Roman" w:hAnsi="Arial" w:cs="Arial"/>
      <w:b/>
      <w:bCs/>
      <w:i/>
      <w:i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E674AA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E674AA"/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674AA"/>
    <w:rPr>
      <w:rFonts w:ascii="Arial" w:eastAsia="Times New Roman" w:hAnsi="Arial" w:cs="Arial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rsid w:val="00E674AA"/>
    <w:rPr>
      <w:rFonts w:ascii="Arial" w:eastAsia="Times New Roman" w:hAnsi="Arial" w:cs="Arial"/>
      <w:i/>
      <w:iCs/>
      <w:spacing w:val="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E674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7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74AA"/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AA"/>
    <w:rPr>
      <w:rFonts w:ascii="Segoe UI" w:eastAsia="Calibr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E674A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1AD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54E"/>
    <w:rPr>
      <w:rFonts w:ascii="Arial" w:eastAsia="Calibri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54E"/>
    <w:rPr>
      <w:rFonts w:ascii="Arial" w:eastAsia="Calibri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EB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EBB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EBB"/>
    <w:rPr>
      <w:rFonts w:ascii="Arial" w:eastAsia="Calibri" w:hAnsi="Arial" w:cs="Arial"/>
      <w:b/>
      <w:bCs/>
      <w:sz w:val="20"/>
      <w:szCs w:val="20"/>
    </w:rPr>
  </w:style>
  <w:style w:type="paragraph" w:customStyle="1" w:styleId="Default">
    <w:name w:val="Default"/>
    <w:rsid w:val="004D6F07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C33EEC"/>
    <w:pPr>
      <w:spacing w:line="201" w:lineRule="atLeast"/>
    </w:pPr>
    <w:rPr>
      <w:rFonts w:ascii="Source Sans Pro" w:hAnsi="Source Sans Pro"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5F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91C7E"/>
    <w:rPr>
      <w:i/>
      <w:iCs/>
    </w:rPr>
  </w:style>
  <w:style w:type="character" w:styleId="Pogrubienie">
    <w:name w:val="Strong"/>
    <w:uiPriority w:val="22"/>
    <w:qFormat/>
    <w:rsid w:val="003A103C"/>
    <w:rPr>
      <w:b/>
      <w:bCs/>
    </w:rPr>
  </w:style>
  <w:style w:type="paragraph" w:customStyle="1" w:styleId="Zawartotabeli">
    <w:name w:val="Zawartość tabeli"/>
    <w:basedOn w:val="Normalny"/>
    <w:rsid w:val="005B333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">
    <w:name w:val="Tekst"/>
    <w:basedOn w:val="Normalny"/>
    <w:rsid w:val="005B333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7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\\lenovo2\uzytkownicy$\j.kosmala\Pulpit\MIERNIKI\2018%20r\Grudzie&#324;\Tabela%20nr%201%20-%20Bie&#380;&#261;cy%20monitoring+miernik%20-%20woj.%20ma&#322;opolskie%20grudzie&#324;%202018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\\lenovo2\uzytkownicy$\j.kosmala\Pulpit\ZATRUCIA\2018%20r\Zatrucia%202018%20r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\\lenovo2\uzytkownicy$\j.kosmala\Pulpit\ZATRUCIA\2018%20r\Zatrucia%202018%20r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\\lenovo2\uzytkownicy$\j.kosmala\Pulpit\ZATRUCIA\2018%20r\Zatrucia%202018%20r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file:///\\lenovo2\uzytkownicy$\j.kosmala\Pulpit\ZATRUCIA\2018%20r\Zatrucia%202018%20r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file:///\\lenovo2\uzytkownicy$\j.kosmala\Pulpit\ZATRUCIA\2018%20r\Zatrucia%202018%20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Arkusz3!$C$33</c:f>
              <c:strCache>
                <c:ptCount val="1"/>
                <c:pt idx="0">
                  <c:v>2016 r.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Arkusz3!$C$34:$C$41</c:f>
              <c:numCache>
                <c:formatCode>0</c:formatCode>
                <c:ptCount val="8"/>
                <c:pt idx="0">
                  <c:v>20</c:v>
                </c:pt>
                <c:pt idx="1">
                  <c:v>60</c:v>
                </c:pt>
                <c:pt idx="2">
                  <c:v>0</c:v>
                </c:pt>
                <c:pt idx="3">
                  <c:v>20</c:v>
                </c:pt>
                <c:pt idx="4">
                  <c:v>200</c:v>
                </c:pt>
                <c:pt idx="5">
                  <c:v>120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0"/>
          <c:order val="1"/>
          <c:tx>
            <c:strRef>
              <c:f>Arkusz3!$D$33</c:f>
              <c:strCache>
                <c:ptCount val="1"/>
                <c:pt idx="0">
                  <c:v>2017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Arkusz3!$B$34:$B$41</c:f>
              <c:strCache>
                <c:ptCount val="8"/>
                <c:pt idx="0">
                  <c:v>krakowski</c:v>
                </c:pt>
                <c:pt idx="1">
                  <c:v>nowosądecki</c:v>
                </c:pt>
                <c:pt idx="2">
                  <c:v>nowotarski</c:v>
                </c:pt>
                <c:pt idx="3">
                  <c:v>suski</c:v>
                </c:pt>
                <c:pt idx="4">
                  <c:v>tarnowski</c:v>
                </c:pt>
                <c:pt idx="5">
                  <c:v>tatrzański</c:v>
                </c:pt>
                <c:pt idx="6">
                  <c:v>wadowicki</c:v>
                </c:pt>
                <c:pt idx="7">
                  <c:v>wielicki</c:v>
                </c:pt>
              </c:strCache>
            </c:strRef>
          </c:cat>
          <c:val>
            <c:numRef>
              <c:f>Arkusz3!$D$34:$D$41</c:f>
              <c:numCache>
                <c:formatCode>0</c:formatCode>
                <c:ptCount val="8"/>
                <c:pt idx="0">
                  <c:v>414.5</c:v>
                </c:pt>
                <c:pt idx="1">
                  <c:v>260</c:v>
                </c:pt>
                <c:pt idx="2">
                  <c:v>190</c:v>
                </c:pt>
                <c:pt idx="3">
                  <c:v>20</c:v>
                </c:pt>
                <c:pt idx="4">
                  <c:v>720</c:v>
                </c:pt>
                <c:pt idx="5">
                  <c:v>80</c:v>
                </c:pt>
                <c:pt idx="6">
                  <c:v>20</c:v>
                </c:pt>
                <c:pt idx="7">
                  <c:v>0</c:v>
                </c:pt>
              </c:numCache>
            </c:numRef>
          </c:val>
        </c:ser>
        <c:ser>
          <c:idx val="1"/>
          <c:order val="2"/>
          <c:tx>
            <c:strRef>
              <c:f>Arkusz3!$E$33</c:f>
              <c:strCache>
                <c:ptCount val="1"/>
                <c:pt idx="0">
                  <c:v>2018 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8039215686274508E-3"/>
                  <c:y val="-2.3658636480127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Arkusz3!$B$34:$B$41</c:f>
              <c:strCache>
                <c:ptCount val="8"/>
                <c:pt idx="0">
                  <c:v>krakowski</c:v>
                </c:pt>
                <c:pt idx="1">
                  <c:v>nowosądecki</c:v>
                </c:pt>
                <c:pt idx="2">
                  <c:v>nowotarski</c:v>
                </c:pt>
                <c:pt idx="3">
                  <c:v>suski</c:v>
                </c:pt>
                <c:pt idx="4">
                  <c:v>tarnowski</c:v>
                </c:pt>
                <c:pt idx="5">
                  <c:v>tatrzański</c:v>
                </c:pt>
                <c:pt idx="6">
                  <c:v>wadowicki</c:v>
                </c:pt>
                <c:pt idx="7">
                  <c:v>wielicki</c:v>
                </c:pt>
              </c:strCache>
            </c:strRef>
          </c:cat>
          <c:val>
            <c:numRef>
              <c:f>Arkusz3!$E$34:$E$41</c:f>
              <c:numCache>
                <c:formatCode>0</c:formatCode>
                <c:ptCount val="8"/>
                <c:pt idx="0">
                  <c:v>430</c:v>
                </c:pt>
                <c:pt idx="1">
                  <c:v>220</c:v>
                </c:pt>
                <c:pt idx="2">
                  <c:v>60</c:v>
                </c:pt>
                <c:pt idx="3">
                  <c:v>0</c:v>
                </c:pt>
                <c:pt idx="4">
                  <c:v>980</c:v>
                </c:pt>
                <c:pt idx="5">
                  <c:v>370</c:v>
                </c:pt>
                <c:pt idx="6">
                  <c:v>20</c:v>
                </c:pt>
                <c:pt idx="7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378176"/>
        <c:axId val="131388160"/>
      </c:barChart>
      <c:catAx>
        <c:axId val="13137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388160"/>
        <c:crosses val="autoZero"/>
        <c:auto val="1"/>
        <c:lblAlgn val="ctr"/>
        <c:lblOffset val="100"/>
        <c:noMultiLvlLbl val="0"/>
      </c:catAx>
      <c:valAx>
        <c:axId val="1313881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Kwota nałożonych kar pieniężnych [tys. zł]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crossAx val="13137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Arkusz2!$B$50:$D$50</c:f>
              <c:strCache>
                <c:ptCount val="3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</c:strCache>
            </c:strRef>
          </c:cat>
          <c:val>
            <c:numRef>
              <c:f>Arkusz2!$B$51:$D$51</c:f>
              <c:numCache>
                <c:formatCode>General</c:formatCode>
                <c:ptCount val="3"/>
                <c:pt idx="0">
                  <c:v>71</c:v>
                </c:pt>
                <c:pt idx="1">
                  <c:v>267</c:v>
                </c:pt>
                <c:pt idx="2">
                  <c:v>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638016"/>
        <c:axId val="131639552"/>
      </c:barChart>
      <c:catAx>
        <c:axId val="13163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639552"/>
        <c:crosses val="autoZero"/>
        <c:auto val="1"/>
        <c:lblAlgn val="ctr"/>
        <c:lblOffset val="100"/>
        <c:noMultiLvlLbl val="0"/>
      </c:catAx>
      <c:valAx>
        <c:axId val="13163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63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[Zatrucia 2018 r.xlsx]Arkusz8!Tabela przestawna6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Arkusz8!$B$3</c:f>
              <c:strCache>
                <c:ptCount val="1"/>
                <c:pt idx="0">
                  <c:v>Suma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Arkusz8!$A$4:$A$16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Arkusz8!$B$4:$B$16</c:f>
              <c:numCache>
                <c:formatCode>General</c:formatCode>
                <c:ptCount val="12"/>
                <c:pt idx="0">
                  <c:v>22</c:v>
                </c:pt>
                <c:pt idx="1">
                  <c:v>19</c:v>
                </c:pt>
                <c:pt idx="2">
                  <c:v>28</c:v>
                </c:pt>
                <c:pt idx="3">
                  <c:v>11</c:v>
                </c:pt>
                <c:pt idx="4">
                  <c:v>7</c:v>
                </c:pt>
                <c:pt idx="5">
                  <c:v>9</c:v>
                </c:pt>
                <c:pt idx="6">
                  <c:v>14</c:v>
                </c:pt>
                <c:pt idx="7">
                  <c:v>7</c:v>
                </c:pt>
                <c:pt idx="8">
                  <c:v>12</c:v>
                </c:pt>
                <c:pt idx="9">
                  <c:v>6</c:v>
                </c:pt>
                <c:pt idx="10">
                  <c:v>6</c:v>
                </c:pt>
                <c:pt idx="1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834624"/>
        <c:axId val="131836160"/>
        <c:axId val="0"/>
      </c:bar3DChart>
      <c:catAx>
        <c:axId val="13183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836160"/>
        <c:crosses val="autoZero"/>
        <c:auto val="1"/>
        <c:lblAlgn val="ctr"/>
        <c:lblOffset val="100"/>
        <c:noMultiLvlLbl val="0"/>
      </c:catAx>
      <c:valAx>
        <c:axId val="13183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834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[Zatrucia 2018 r.xlsx]Arkusz16!Tabela przestawna12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5.2842005860378564E-2"/>
          <c:y val="4.8014773776546629E-2"/>
          <c:w val="0.75183883264591922"/>
          <c:h val="0.75978071993078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Arkusz16!$B$1</c:f>
              <c:strCache>
                <c:ptCount val="1"/>
                <c:pt idx="0">
                  <c:v>Suma z 2016 r.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Arkusz16!$A$2:$A$14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Arkusz16!$B$2:$B$14</c:f>
              <c:numCache>
                <c:formatCode>General</c:formatCode>
                <c:ptCount val="12"/>
                <c:pt idx="0">
                  <c:v>14</c:v>
                </c:pt>
                <c:pt idx="1">
                  <c:v>16</c:v>
                </c:pt>
                <c:pt idx="2">
                  <c:v>3</c:v>
                </c:pt>
                <c:pt idx="3">
                  <c:v>11</c:v>
                </c:pt>
                <c:pt idx="4">
                  <c:v>3</c:v>
                </c:pt>
                <c:pt idx="5">
                  <c:v>6</c:v>
                </c:pt>
                <c:pt idx="6">
                  <c:v>4</c:v>
                </c:pt>
                <c:pt idx="7">
                  <c:v>0</c:v>
                </c:pt>
                <c:pt idx="8">
                  <c:v>5</c:v>
                </c:pt>
                <c:pt idx="9">
                  <c:v>1</c:v>
                </c:pt>
                <c:pt idx="10">
                  <c:v>7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Arkusz16!$C$1</c:f>
              <c:strCache>
                <c:ptCount val="1"/>
                <c:pt idx="0">
                  <c:v>Suma z 2017 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Arkusz16!$A$2:$A$14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Arkusz16!$C$2:$C$14</c:f>
              <c:numCache>
                <c:formatCode>General</c:formatCode>
                <c:ptCount val="12"/>
                <c:pt idx="0">
                  <c:v>4</c:v>
                </c:pt>
                <c:pt idx="1">
                  <c:v>8</c:v>
                </c:pt>
                <c:pt idx="2">
                  <c:v>23</c:v>
                </c:pt>
                <c:pt idx="3">
                  <c:v>12</c:v>
                </c:pt>
                <c:pt idx="4">
                  <c:v>25</c:v>
                </c:pt>
                <c:pt idx="5">
                  <c:v>18</c:v>
                </c:pt>
                <c:pt idx="6">
                  <c:v>50</c:v>
                </c:pt>
                <c:pt idx="7">
                  <c:v>18</c:v>
                </c:pt>
                <c:pt idx="8">
                  <c:v>43</c:v>
                </c:pt>
                <c:pt idx="9">
                  <c:v>20</c:v>
                </c:pt>
                <c:pt idx="10">
                  <c:v>30</c:v>
                </c:pt>
                <c:pt idx="11">
                  <c:v>16</c:v>
                </c:pt>
              </c:numCache>
            </c:numRef>
          </c:val>
        </c:ser>
        <c:ser>
          <c:idx val="2"/>
          <c:order val="2"/>
          <c:tx>
            <c:strRef>
              <c:f>Arkusz16!$D$1</c:f>
              <c:strCache>
                <c:ptCount val="1"/>
                <c:pt idx="0">
                  <c:v>Suma z 2018 r.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1"/>
              <c:layout>
                <c:manualLayout>
                  <c:x val="1.7636684303350969E-2"/>
                  <c:y val="-3.3240997229916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Arkusz16!$A$2:$A$14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Arkusz16!$D$2:$D$14</c:f>
              <c:numCache>
                <c:formatCode>General</c:formatCode>
                <c:ptCount val="12"/>
                <c:pt idx="0">
                  <c:v>23</c:v>
                </c:pt>
                <c:pt idx="1">
                  <c:v>27</c:v>
                </c:pt>
                <c:pt idx="2">
                  <c:v>52</c:v>
                </c:pt>
                <c:pt idx="3">
                  <c:v>10</c:v>
                </c:pt>
                <c:pt idx="4">
                  <c:v>19</c:v>
                </c:pt>
                <c:pt idx="5">
                  <c:v>16</c:v>
                </c:pt>
                <c:pt idx="6">
                  <c:v>8</c:v>
                </c:pt>
                <c:pt idx="7">
                  <c:v>33</c:v>
                </c:pt>
                <c:pt idx="8">
                  <c:v>17</c:v>
                </c:pt>
                <c:pt idx="9">
                  <c:v>3</c:v>
                </c:pt>
                <c:pt idx="10">
                  <c:v>13</c:v>
                </c:pt>
                <c:pt idx="1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243456"/>
        <c:axId val="132244992"/>
      </c:barChart>
      <c:catAx>
        <c:axId val="13224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244992"/>
        <c:crosses val="autoZero"/>
        <c:auto val="1"/>
        <c:lblAlgn val="ctr"/>
        <c:lblOffset val="100"/>
        <c:noMultiLvlLbl val="0"/>
      </c:catAx>
      <c:valAx>
        <c:axId val="13224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2434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736743084105622E-2"/>
          <c:y val="0.13490384615384615"/>
          <c:w val="0.92226325691589439"/>
          <c:h val="0.70551862507571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Arkusz2!$B$33</c:f>
              <c:strCache>
                <c:ptCount val="1"/>
                <c:pt idx="0">
                  <c:v>liczba zgłoszeń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Arkusz2!$A$34:$A$44</c:f>
              <c:strCache>
                <c:ptCount val="11"/>
                <c:pt idx="0">
                  <c:v>bocheński</c:v>
                </c:pt>
                <c:pt idx="1">
                  <c:v>brzeski</c:v>
                </c:pt>
                <c:pt idx="2">
                  <c:v>chrzanowski</c:v>
                </c:pt>
                <c:pt idx="3">
                  <c:v>gorlicki</c:v>
                </c:pt>
                <c:pt idx="4">
                  <c:v>krakowski</c:v>
                </c:pt>
                <c:pt idx="5">
                  <c:v>limanowski</c:v>
                </c:pt>
                <c:pt idx="6">
                  <c:v>nowosądecki</c:v>
                </c:pt>
                <c:pt idx="7">
                  <c:v>olkuski</c:v>
                </c:pt>
                <c:pt idx="8">
                  <c:v>oświęcimski</c:v>
                </c:pt>
                <c:pt idx="9">
                  <c:v>tarnowski</c:v>
                </c:pt>
                <c:pt idx="10">
                  <c:v>tatrzański</c:v>
                </c:pt>
              </c:strCache>
            </c:strRef>
          </c:cat>
          <c:val>
            <c:numRef>
              <c:f>Arkusz2!$B$34:$B$44</c:f>
              <c:numCache>
                <c:formatCode>General</c:formatCode>
                <c:ptCount val="11"/>
                <c:pt idx="0">
                  <c:v>4</c:v>
                </c:pt>
                <c:pt idx="1">
                  <c:v>1</c:v>
                </c:pt>
                <c:pt idx="2">
                  <c:v>65</c:v>
                </c:pt>
                <c:pt idx="3">
                  <c:v>2</c:v>
                </c:pt>
                <c:pt idx="4">
                  <c:v>22</c:v>
                </c:pt>
                <c:pt idx="5">
                  <c:v>1</c:v>
                </c:pt>
                <c:pt idx="6">
                  <c:v>27</c:v>
                </c:pt>
                <c:pt idx="7">
                  <c:v>3</c:v>
                </c:pt>
                <c:pt idx="8">
                  <c:v>1</c:v>
                </c:pt>
                <c:pt idx="9">
                  <c:v>106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6197632"/>
        <c:axId val="136199168"/>
      </c:barChart>
      <c:catAx>
        <c:axId val="13619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6199168"/>
        <c:crosses val="autoZero"/>
        <c:auto val="1"/>
        <c:lblAlgn val="ctr"/>
        <c:lblOffset val="100"/>
        <c:noMultiLvlLbl val="0"/>
      </c:catAx>
      <c:valAx>
        <c:axId val="13619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619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[Zatrucia 2018 r.xlsx]Arkusz7!Tabela przestawna2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Arkusz7!$B$3</c:f>
              <c:strCache>
                <c:ptCount val="1"/>
                <c:pt idx="0">
                  <c:v>Suma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Arkusz7!$A$4:$A$11</c:f>
              <c:strCache>
                <c:ptCount val="7"/>
                <c:pt idx="0">
                  <c:v>13-15</c:v>
                </c:pt>
                <c:pt idx="1">
                  <c:v>16-18</c:v>
                </c:pt>
                <c:pt idx="2">
                  <c:v>19-24</c:v>
                </c:pt>
                <c:pt idx="3">
                  <c:v>25-29</c:v>
                </c:pt>
                <c:pt idx="4">
                  <c:v>30-39</c:v>
                </c:pt>
                <c:pt idx="5">
                  <c:v>nie ustalono</c:v>
                </c:pt>
                <c:pt idx="6">
                  <c:v>powyżej 40</c:v>
                </c:pt>
              </c:strCache>
            </c:strRef>
          </c:cat>
          <c:val>
            <c:numRef>
              <c:f>Arkusz7!$B$4:$B$11</c:f>
              <c:numCache>
                <c:formatCode>General</c:formatCode>
                <c:ptCount val="7"/>
                <c:pt idx="0">
                  <c:v>3</c:v>
                </c:pt>
                <c:pt idx="1">
                  <c:v>24</c:v>
                </c:pt>
                <c:pt idx="2">
                  <c:v>64</c:v>
                </c:pt>
                <c:pt idx="3">
                  <c:v>37</c:v>
                </c:pt>
                <c:pt idx="4">
                  <c:v>43</c:v>
                </c:pt>
                <c:pt idx="5">
                  <c:v>50</c:v>
                </c:pt>
                <c:pt idx="6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225152"/>
        <c:axId val="136226688"/>
      </c:barChart>
      <c:catAx>
        <c:axId val="13622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6226688"/>
        <c:crosses val="autoZero"/>
        <c:auto val="1"/>
        <c:lblAlgn val="ctr"/>
        <c:lblOffset val="100"/>
        <c:noMultiLvlLbl val="0"/>
      </c:catAx>
      <c:valAx>
        <c:axId val="13622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6225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54A93-D45C-4D60-95C8-C57B06D4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Kosmala</dc:creator>
  <cp:lastModifiedBy>Grażyna Przeźmińska</cp:lastModifiedBy>
  <cp:revision>3</cp:revision>
  <dcterms:created xsi:type="dcterms:W3CDTF">2019-03-29T08:18:00Z</dcterms:created>
  <dcterms:modified xsi:type="dcterms:W3CDTF">2019-03-29T10:18:00Z</dcterms:modified>
</cp:coreProperties>
</file>